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UNITED STATES </w:t>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288" w:before="180" w:after="120"/>
        <w:ind w:left="0" w:right="0" w:firstLine="180"/>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9836" w:type="dxa"/>
        <w:jc w:val="center"/>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quarterly period ended June 30, 2026</w:t>
      </w:r>
    </w:p>
    <w:p>
      <w:pPr>
        <w:pStyle w:val="TextBody"/>
        <w:bidi w:val="0"/>
        <w:spacing w:lineRule="auto" w:line="288" w:before="6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_________________________ to _________________________</w:t>
            </w:r>
          </w:p>
        </w:tc>
      </w:tr>
    </w:tbl>
    <w:p>
      <w:pPr>
        <w:pStyle w:val="TextBody"/>
        <w:bidi w:val="0"/>
        <w:spacing w:lineRule="auto" w:line="288" w:before="20" w:after="120"/>
        <w:ind w:left="0" w:right="0" w:firstLine="180"/>
        <w:jc w:val="center"/>
        <w:rPr/>
      </w:pPr>
      <w:r>
        <w:rPr>
          <w:rFonts w:ascii="Times New Roman;serif" w:hAnsi="Times New Roman;serif"/>
          <w:b w:val="false"/>
          <w:color w:val="000000"/>
          <w:sz w:val="20"/>
        </w:rPr>
        <w:t xml:space="preserve">Commission file number: </w:t>
      </w:r>
      <w:r>
        <w:rPr>
          <w:rFonts w:ascii="Times New Roman;serif" w:hAnsi="Times New Roman;serif"/>
          <w:b w:val="false"/>
          <w:color w:val="000000"/>
          <w:sz w:val="20"/>
          <w:u w:val="single"/>
        </w:rPr>
        <w:t>001-36246</w:t>
      </w:r>
    </w:p>
    <w:p>
      <w:pPr>
        <w:pStyle w:val="TextBody"/>
        <w:bidi w:val="0"/>
        <w:spacing w:lineRule="auto" w:line="288" w:before="0" w:after="0"/>
        <w:ind w:left="0" w:right="0" w:firstLine="180"/>
        <w:jc w:val="center"/>
        <w:rPr>
          <w:rFonts w:ascii="Times New Roman;serif" w:hAnsi="Times New Roman;serif"/>
          <w:b/>
          <w:color w:val="000000"/>
          <w:sz w:val="24"/>
        </w:rPr>
      </w:pPr>
      <w:r>
        <w:rPr>
          <w:rFonts w:ascii="Times New Roman;serif" w:hAnsi="Times New Roman;serif"/>
          <w:b/>
          <w:color w:val="000000"/>
          <w:sz w:val="24"/>
        </w:rPr>
        <w:t>Civeo Corporation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684" w:type="dxa"/>
        <w:jc w:val="left"/>
        <w:tblInd w:w="0" w:type="dxa"/>
        <w:tblLayout w:type="fixed"/>
        <w:tblCellMar>
          <w:top w:w="28" w:type="dxa"/>
          <w:left w:w="28" w:type="dxa"/>
          <w:bottom w:w="28" w:type="dxa"/>
          <w:right w:w="28" w:type="dxa"/>
        </w:tblCellMar>
      </w:tblPr>
      <w:tblGrid>
        <w:gridCol w:w="1460"/>
        <w:gridCol w:w="1286"/>
        <w:gridCol w:w="1289"/>
        <w:gridCol w:w="481"/>
        <w:gridCol w:w="481"/>
        <w:gridCol w:w="687"/>
      </w:tblGrid>
      <w:tr>
        <w:trPr/>
        <w:tc>
          <w:tcPr>
            <w:tcW w:w="1460"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British Columbia, Canada</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98-1253716</w:t>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Three Allen Center, 333 Clay Street, Suite 4400,</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77002</w:t>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Houston, Texas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6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(713) 510-2400</w:t>
      </w:r>
    </w:p>
    <w:p>
      <w:pPr>
        <w:pStyle w:val="TextBody"/>
        <w:bidi w:val="0"/>
        <w:spacing w:lineRule="auto" w:line="288" w:before="120" w:after="12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943" w:type="dxa"/>
        <w:jc w:val="center"/>
        <w:tblInd w:w="0" w:type="dxa"/>
        <w:tblLayout w:type="fixed"/>
        <w:tblCellMar>
          <w:top w:w="28" w:type="dxa"/>
          <w:left w:w="28" w:type="dxa"/>
          <w:bottom w:w="28" w:type="dxa"/>
          <w:right w:w="28" w:type="dxa"/>
        </w:tblCellMar>
      </w:tblPr>
      <w:tblGrid>
        <w:gridCol w:w="820"/>
        <w:gridCol w:w="717"/>
        <w:gridCol w:w="727"/>
        <w:gridCol w:w="419"/>
        <w:gridCol w:w="419"/>
        <w:gridCol w:w="421"/>
        <w:gridCol w:w="1002"/>
        <w:gridCol w:w="1002"/>
        <w:gridCol w:w="1416"/>
      </w:tblGrid>
      <w:tr>
        <w:trPr/>
        <w:tc>
          <w:tcPr>
            <w:tcW w:w="82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Shares, no par value</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CVEO</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1451" w:type="dxa"/>
        <w:jc w:val="left"/>
        <w:tblInd w:w="0" w:type="dxa"/>
        <w:tblLayout w:type="fixed"/>
        <w:tblCellMar>
          <w:top w:w="28" w:type="dxa"/>
          <w:left w:w="28" w:type="dxa"/>
          <w:bottom w:w="28" w:type="dxa"/>
          <w:right w:w="28" w:type="dxa"/>
        </w:tblCellMar>
      </w:tblPr>
      <w:tblGrid>
        <w:gridCol w:w="136"/>
        <w:gridCol w:w="119"/>
        <w:gridCol w:w="121"/>
        <w:gridCol w:w="125"/>
        <w:gridCol w:w="125"/>
        <w:gridCol w:w="126"/>
        <w:gridCol w:w="109"/>
        <w:gridCol w:w="109"/>
        <w:gridCol w:w="109"/>
        <w:gridCol w:w="109"/>
        <w:gridCol w:w="109"/>
        <w:gridCol w:w="15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8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1402" w:type="dxa"/>
        <w:jc w:val="left"/>
        <w:tblInd w:w="0" w:type="dxa"/>
        <w:tblLayout w:type="fixed"/>
        <w:tblCellMar>
          <w:top w:w="28" w:type="dxa"/>
          <w:left w:w="28" w:type="dxa"/>
          <w:bottom w:w="28" w:type="dxa"/>
          <w:right w:w="28" w:type="dxa"/>
        </w:tblCellMar>
      </w:tblPr>
      <w:tblGrid>
        <w:gridCol w:w="136"/>
        <w:gridCol w:w="119"/>
        <w:gridCol w:w="121"/>
        <w:gridCol w:w="109"/>
        <w:gridCol w:w="109"/>
        <w:gridCol w:w="109"/>
        <w:gridCol w:w="109"/>
        <w:gridCol w:w="109"/>
        <w:gridCol w:w="109"/>
        <w:gridCol w:w="109"/>
        <w:gridCol w:w="109"/>
        <w:gridCol w:w="15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tbl>
      <w:tblPr>
        <w:tblW w:w="7079" w:type="dxa"/>
        <w:jc w:val="left"/>
        <w:tblInd w:w="0" w:type="dxa"/>
        <w:tblLayout w:type="fixed"/>
        <w:tblCellMar>
          <w:top w:w="28" w:type="dxa"/>
          <w:left w:w="28" w:type="dxa"/>
          <w:bottom w:w="28" w:type="dxa"/>
          <w:right w:w="28" w:type="dxa"/>
        </w:tblCellMar>
      </w:tblPr>
      <w:tblGrid>
        <w:gridCol w:w="630"/>
        <w:gridCol w:w="553"/>
        <w:gridCol w:w="557"/>
        <w:gridCol w:w="109"/>
        <w:gridCol w:w="109"/>
        <w:gridCol w:w="109"/>
        <w:gridCol w:w="694"/>
        <w:gridCol w:w="694"/>
        <w:gridCol w:w="697"/>
        <w:gridCol w:w="125"/>
        <w:gridCol w:w="125"/>
        <w:gridCol w:w="126"/>
        <w:gridCol w:w="709"/>
        <w:gridCol w:w="709"/>
        <w:gridCol w:w="712"/>
        <w:gridCol w:w="123"/>
        <w:gridCol w:w="123"/>
        <w:gridCol w:w="175"/>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Emerging Growth Company </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402" w:type="dxa"/>
        <w:jc w:val="left"/>
        <w:tblInd w:w="0" w:type="dxa"/>
        <w:tblLayout w:type="fixed"/>
        <w:tblCellMar>
          <w:top w:w="28" w:type="dxa"/>
          <w:left w:w="28" w:type="dxa"/>
          <w:bottom w:w="28" w:type="dxa"/>
          <w:right w:w="28" w:type="dxa"/>
        </w:tblCellMar>
      </w:tblPr>
      <w:tblGrid>
        <w:gridCol w:w="136"/>
        <w:gridCol w:w="119"/>
        <w:gridCol w:w="121"/>
        <w:gridCol w:w="109"/>
        <w:gridCol w:w="109"/>
        <w:gridCol w:w="109"/>
        <w:gridCol w:w="109"/>
        <w:gridCol w:w="109"/>
        <w:gridCol w:w="109"/>
        <w:gridCol w:w="109"/>
        <w:gridCol w:w="109"/>
        <w:gridCol w:w="15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The Registrant had 10,336,859 common shares outstanding as of July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CIVEO CORPORATION</w:t>
      </w:r>
    </w:p>
    <w:p>
      <w:pPr>
        <w:pStyle w:val="TextBody"/>
        <w:bidi w:val="0"/>
        <w:spacing w:lineRule="auto" w:line="288" w:before="120" w:after="12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INDEX</w:t>
      </w:r>
    </w:p>
    <w:tbl>
      <w:tblPr>
        <w:tblW w:w="10205" w:type="dxa"/>
        <w:jc w:val="left"/>
        <w:tblInd w:w="0" w:type="dxa"/>
        <w:tblLayout w:type="fixed"/>
        <w:tblCellMar>
          <w:top w:w="28" w:type="dxa"/>
          <w:left w:w="28" w:type="dxa"/>
          <w:bottom w:w="28" w:type="dxa"/>
          <w:right w:w="28" w:type="dxa"/>
        </w:tblCellMar>
      </w:tblPr>
      <w:tblGrid>
        <w:gridCol w:w="3405"/>
        <w:gridCol w:w="2991"/>
        <w:gridCol w:w="2998"/>
        <w:gridCol w:w="235"/>
        <w:gridCol w:w="235"/>
        <w:gridCol w:w="341"/>
      </w:tblGrid>
      <w:tr>
        <w:trPr/>
        <w:tc>
          <w:tcPr>
            <w:tcW w:w="3405"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c>
          <w:tcPr>
            <w:tcW w:w="299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Page No.</w:t>
            </w:r>
          </w:p>
        </w:tc>
      </w:tr>
      <w:tr>
        <w:trPr/>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Part I -- FINANCIAL INFORMATION</w:t>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Item 1. Financial Statements:</w:t>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Financial Statements</w:t>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Unaudited Consolidated Statements of Operations for the Three and Six Months Ended June 30, 2026 and 2025</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4d0addb0dd54e1da8a5eeab1931e120_16">
              <w:r>
                <w:rPr>
                  <w:rStyle w:val="InternetLink"/>
                  <w:rFonts w:ascii="Times New Roman;serif" w:hAnsi="Times New Roman;serif"/>
                  <w:b w:val="false"/>
                  <w:color w:val="0000FF"/>
                  <w:sz w:val="16"/>
                  <w:u w:val="single"/>
                </w:rPr>
                <w:t>4</w:t>
              </w:r>
            </w:hyperlink>
          </w:p>
        </w:tc>
      </w:tr>
      <w:tr>
        <w:trPr/>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Unaudited Consolidated Statements of Comprehensive Income (Loss) for the Three and Six Months Ended June 30, 2026 and 2025</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4d0addb0dd54e1da8a5eeab1931e120_19">
              <w:r>
                <w:rPr>
                  <w:rStyle w:val="InternetLink"/>
                  <w:rFonts w:ascii="Times New Roman;serif" w:hAnsi="Times New Roman;serif"/>
                  <w:b w:val="false"/>
                  <w:color w:val="0000FF"/>
                  <w:sz w:val="16"/>
                  <w:u w:val="single"/>
                </w:rPr>
                <w:t>5</w:t>
              </w:r>
            </w:hyperlink>
          </w:p>
        </w:tc>
      </w:tr>
      <w:tr>
        <w:trPr/>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Consolidated Balance Sheets – as of June 30, 2026 (unaudited) and December 31, 2025</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4d0addb0dd54e1da8a5eeab1931e120_22">
              <w:r>
                <w:rPr>
                  <w:rStyle w:val="InternetLink"/>
                  <w:rFonts w:ascii="Times New Roman;serif" w:hAnsi="Times New Roman;serif"/>
                  <w:b w:val="false"/>
                  <w:color w:val="0000FF"/>
                  <w:sz w:val="16"/>
                  <w:u w:val="single"/>
                </w:rPr>
                <w:t>6</w:t>
              </w:r>
            </w:hyperlink>
          </w:p>
        </w:tc>
      </w:tr>
      <w:tr>
        <w:trPr/>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Unaudited Consolidated Statements of Changes in Shareholders’ Equity for the Three and Six Months Ended June 30, 2026 and 2025</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4d0addb0dd54e1da8a5eeab1931e120_25">
              <w:r>
                <w:rPr>
                  <w:rStyle w:val="InternetLink"/>
                  <w:rFonts w:ascii="Times New Roman;serif" w:hAnsi="Times New Roman;serif"/>
                  <w:b w:val="false"/>
                  <w:color w:val="0000FF"/>
                  <w:sz w:val="16"/>
                  <w:u w:val="single"/>
                </w:rPr>
                <w:t>7</w:t>
              </w:r>
            </w:hyperlink>
          </w:p>
        </w:tc>
      </w:tr>
      <w:tr>
        <w:trPr/>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Unaudited Consolidated Statements of Cash Flows for the Six Months Ended June 30, 2026 and 2025</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4d0addb0dd54e1da8a5eeab1931e120_28">
              <w:r>
                <w:rPr>
                  <w:rStyle w:val="InternetLink"/>
                  <w:rFonts w:ascii="Times New Roman;serif" w:hAnsi="Times New Roman;serif"/>
                  <w:b w:val="false"/>
                  <w:color w:val="0000FF"/>
                  <w:sz w:val="16"/>
                  <w:u w:val="single"/>
                </w:rPr>
                <w:t>8</w:t>
              </w:r>
            </w:hyperlink>
          </w:p>
        </w:tc>
      </w:tr>
      <w:tr>
        <w:trPr/>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Notes to Unaudited Consolidated Financial Statements</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4d0addb0dd54e1da8a5eeab1931e120_31">
              <w:r>
                <w:rPr>
                  <w:rStyle w:val="InternetLink"/>
                  <w:rFonts w:ascii="Times New Roman;serif" w:hAnsi="Times New Roman;serif"/>
                  <w:b w:val="false"/>
                  <w:color w:val="0000FF"/>
                  <w:sz w:val="16"/>
                  <w:u w:val="single"/>
                </w:rPr>
                <w:t>9</w:t>
              </w:r>
            </w:hyperlink>
          </w:p>
        </w:tc>
      </w:tr>
      <w:tr>
        <w:trPr/>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Cautionary Statement Regarding Forward-Looking Statements</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4d0addb0dd54e1da8a5eeab1931e120_91">
              <w:r>
                <w:rPr>
                  <w:rStyle w:val="InternetLink"/>
                  <w:rFonts w:ascii="Times New Roman;serif" w:hAnsi="Times New Roman;serif"/>
                  <w:b w:val="false"/>
                  <w:color w:val="0000FF"/>
                  <w:sz w:val="16"/>
                  <w:u w:val="single"/>
                </w:rPr>
                <w:t>23</w:t>
              </w:r>
            </w:hyperlink>
          </w:p>
        </w:tc>
      </w:tr>
      <w:tr>
        <w:trPr/>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Item 2.   Management’s Discussion and Analysis of Financial Condition and Results of Operations</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4d0addb0dd54e1da8a5eeab1931e120_94">
              <w:bookmarkStart w:id="0" w:name="if2f464aa34ef4e35b6f52df767440cf9_15-1-1"/>
              <w:bookmarkEnd w:id="0"/>
              <w:r>
                <w:rPr>
                  <w:rStyle w:val="InternetLink"/>
                  <w:rFonts w:ascii="Times New Roman;serif" w:hAnsi="Times New Roman;serif"/>
                  <w:b w:val="false"/>
                  <w:color w:val="0000FF"/>
                  <w:sz w:val="16"/>
                  <w:u w:val="single"/>
                </w:rPr>
                <w:t>23</w:t>
              </w:r>
            </w:hyperlink>
          </w:p>
        </w:tc>
      </w:tr>
      <w:tr>
        <w:trPr/>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Item 3.   Quantitative and Qualitative Disclosures About Market Risk</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4d0addb0dd54e1da8a5eeab1931e120_97">
              <w:r>
                <w:rPr>
                  <w:rStyle w:val="InternetLink"/>
                  <w:rFonts w:ascii="Times New Roman;serif" w:hAnsi="Times New Roman;serif"/>
                  <w:b w:val="false"/>
                  <w:color w:val="0000FF"/>
                  <w:sz w:val="16"/>
                  <w:u w:val="single"/>
                </w:rPr>
                <w:t>38</w:t>
              </w:r>
            </w:hyperlink>
          </w:p>
        </w:tc>
      </w:tr>
      <w:tr>
        <w:trPr/>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Item 4.   Controls and Procedures</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4d0addb0dd54e1da8a5eeab1931e120_100">
              <w:r>
                <w:rPr>
                  <w:rStyle w:val="InternetLink"/>
                  <w:rFonts w:ascii="Times New Roman;serif" w:hAnsi="Times New Roman;serif"/>
                  <w:b w:val="false"/>
                  <w:color w:val="0000FF"/>
                  <w:sz w:val="16"/>
                  <w:u w:val="single"/>
                </w:rPr>
                <w:t>38</w:t>
              </w:r>
            </w:hyperlink>
          </w:p>
        </w:tc>
      </w:tr>
      <w:tr>
        <w:trPr/>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Part II -- OTHER INFORMATION</w:t>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Item 1.     Legal Proceedings</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4d0addb0dd54e1da8a5eeab1931e120_106">
              <w:r>
                <w:rPr>
                  <w:rStyle w:val="InternetLink"/>
                  <w:rFonts w:ascii="Times New Roman;serif" w:hAnsi="Times New Roman;serif"/>
                  <w:b w:val="false"/>
                  <w:color w:val="0000FF"/>
                  <w:sz w:val="16"/>
                  <w:u w:val="single"/>
                </w:rPr>
                <w:t>39</w:t>
              </w:r>
            </w:hyperlink>
          </w:p>
        </w:tc>
      </w:tr>
      <w:tr>
        <w:trPr/>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Item 1A.  Risk Factors</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4d0addb0dd54e1da8a5eeab1931e120_109">
              <w:r>
                <w:rPr>
                  <w:rStyle w:val="InternetLink"/>
                  <w:rFonts w:ascii="Times New Roman;serif" w:hAnsi="Times New Roman;serif"/>
                  <w:b w:val="false"/>
                  <w:color w:val="0000FF"/>
                  <w:sz w:val="16"/>
                  <w:u w:val="single"/>
                </w:rPr>
                <w:t>39</w:t>
              </w:r>
            </w:hyperlink>
          </w:p>
        </w:tc>
      </w:tr>
      <w:tr>
        <w:trPr/>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Item 2.  Unregistered Sales of Equity Securities and Use of Proceeds </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4d0addb0dd54e1da8a5eeab1931e120_112">
              <w:r>
                <w:rPr>
                  <w:rStyle w:val="InternetLink"/>
                  <w:rFonts w:ascii="Times New Roman;serif" w:hAnsi="Times New Roman;serif"/>
                  <w:b w:val="false"/>
                  <w:color w:val="0000FF"/>
                  <w:sz w:val="16"/>
                  <w:u w:val="single"/>
                </w:rPr>
                <w:t>39</w:t>
              </w:r>
            </w:hyperlink>
          </w:p>
        </w:tc>
      </w:tr>
      <w:tr>
        <w:trPr/>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Item 5.     Other Information</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4d0addb0dd54e1da8a5eeab1931e120_115">
              <w:r>
                <w:rPr>
                  <w:rStyle w:val="InternetLink"/>
                  <w:rFonts w:ascii="Times New Roman;serif" w:hAnsi="Times New Roman;serif"/>
                  <w:b w:val="false"/>
                  <w:color w:val="0000FF"/>
                  <w:sz w:val="16"/>
                  <w:u w:val="single"/>
                </w:rPr>
                <w:t>39</w:t>
              </w:r>
            </w:hyperlink>
          </w:p>
        </w:tc>
      </w:tr>
      <w:tr>
        <w:trPr/>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Item 6.     Exhibits</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4d0addb0dd54e1da8a5eeab1931e120_118">
              <w:r>
                <w:rPr>
                  <w:rStyle w:val="InternetLink"/>
                  <w:rFonts w:ascii="Times New Roman;serif" w:hAnsi="Times New Roman;serif"/>
                  <w:b w:val="false"/>
                  <w:color w:val="0000FF"/>
                  <w:sz w:val="16"/>
                  <w:u w:val="single"/>
                </w:rPr>
                <w:t>40</w:t>
              </w:r>
            </w:hyperlink>
          </w:p>
        </w:tc>
      </w:tr>
      <w:tr>
        <w:trPr/>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Index of Exhibits</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4d0addb0dd54e1da8a5eeab1931e120_118">
              <w:r>
                <w:rPr>
                  <w:rStyle w:val="InternetLink"/>
                  <w:rFonts w:ascii="Times New Roman;serif" w:hAnsi="Times New Roman;serif"/>
                  <w:b w:val="false"/>
                  <w:color w:val="0000FF"/>
                  <w:sz w:val="16"/>
                  <w:u w:val="single"/>
                </w:rPr>
                <w:t>40</w:t>
              </w:r>
            </w:hyperlink>
          </w:p>
        </w:tc>
      </w:tr>
      <w:tr>
        <w:trPr/>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Signature Page</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4d0addb0dd54e1da8a5eeab1931e120_121">
              <w:r>
                <w:rPr>
                  <w:rStyle w:val="InternetLink"/>
                  <w:rFonts w:ascii="Times New Roman;serif" w:hAnsi="Times New Roman;serif"/>
                  <w:b w:val="false"/>
                  <w:color w:val="0000FF"/>
                  <w:sz w:val="16"/>
                  <w:u w:val="single"/>
                </w:rPr>
                <w:t>42</w:t>
              </w:r>
            </w:hyperlink>
          </w:p>
        </w:tc>
      </w:tr>
    </w:tbl>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pPr>
      <w:r>
        <w:rPr>
          <w:rFonts w:ascii="Times New Roman;serif" w:hAnsi="Times New Roman;serif"/>
          <w:b/>
          <w:color w:val="000000"/>
          <w:sz w:val="20"/>
        </w:rPr>
        <w:t>ITEM 1.</w:t>
      </w:r>
      <w:r>
        <w:rPr>
          <w:color w:val="000000"/>
        </w:rPr>
        <w:t xml:space="preserve"> </w:t>
      </w:r>
      <w:r>
        <w:rPr>
          <w:rFonts w:ascii="Times New Roman;serif" w:hAnsi="Times New Roman;serif"/>
          <w:b/>
          <w:i/>
          <w:color w:val="000000"/>
          <w:sz w:val="20"/>
        </w:rPr>
        <w:t>Financial Statements</w:t>
      </w:r>
    </w:p>
    <w:p>
      <w:pPr>
        <w:pStyle w:val="TextBody"/>
        <w:bidi w:val="0"/>
        <w:spacing w:before="0" w:after="0"/>
        <w:ind w:left="0" w:right="0" w:firstLine="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CIVEO CORPORATION</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center"/>
        <w:rPr/>
      </w:pPr>
      <w:r>
        <w:rPr>
          <w:rFonts w:ascii="Times New Roman;serif" w:hAnsi="Times New Roman;serif"/>
          <w:b/>
          <w:color w:val="000000"/>
          <w:sz w:val="20"/>
        </w:rPr>
        <w:t>UNAUDITED CONSOLIDATED STATEMENTS OF</w:t>
      </w:r>
      <w:r>
        <w:rPr>
          <w:color w:val="000000"/>
        </w:rPr>
        <w:t xml:space="preserve"> </w:t>
      </w:r>
      <w:r>
        <w:rPr>
          <w:rFonts w:ascii="Times New Roman;serif" w:hAnsi="Times New Roman;serif"/>
          <w:b/>
          <w:color w:val="000000"/>
          <w:sz w:val="20"/>
        </w:rPr>
        <w:t>OPERATIONS</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ind w:left="0" w:right="0" w:firstLine="18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856"/>
        <w:gridCol w:w="1566"/>
        <w:gridCol w:w="1592"/>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5"/>
      </w:tblGrid>
      <w:tr>
        <w:trPr/>
        <w:tc>
          <w:tcPr>
            <w:tcW w:w="1856"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306,738 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Costs and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 and other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236,146 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(income)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174,925 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344,469 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309,454 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(loss)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(2,716)</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(6,467)</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(13,161)</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income (loss) attributable to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Civeo Corporation</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(13,156)</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 Share Data (see Note 6)</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net loss per share attributable to Civeo Corporation common shareholders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net loss per share attributable to Civeo Corporation common shareholders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outstanding: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both"/>
        <w:rPr/>
      </w:pPr>
      <w:r>
        <w:rPr/>
      </w:r>
    </w:p>
    <w:p>
      <w:pPr>
        <w:pStyle w:val="TextBody"/>
        <w:bidi w:val="0"/>
        <w:spacing w:lineRule="auto" w:line="288" w:before="180" w:after="283"/>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CIVEO CORPORATION</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UNAUDITED CONSOLIDATED STATEMENTS OF COMPREHENSIVE INCOME (LOSS)</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ind w:left="0" w:right="0" w:firstLine="180"/>
        <w:jc w:val="center"/>
        <w:rPr>
          <w:color w:val="000000"/>
        </w:rPr>
      </w:pPr>
      <w:r>
        <w:rPr>
          <w:color w:val="000000"/>
        </w:rPr>
        <w:t> </w:t>
      </w:r>
    </w:p>
    <w:tbl>
      <w:tblPr>
        <w:tblW w:w="10050" w:type="dxa"/>
        <w:jc w:val="center"/>
        <w:tblInd w:w="0" w:type="dxa"/>
        <w:tblLayout w:type="fixed"/>
        <w:tblCellMar>
          <w:top w:w="28" w:type="dxa"/>
          <w:left w:w="28" w:type="dxa"/>
          <w:bottom w:w="28" w:type="dxa"/>
          <w:right w:w="28" w:type="dxa"/>
        </w:tblCellMar>
      </w:tblPr>
      <w:tblGrid>
        <w:gridCol w:w="1876"/>
        <w:gridCol w:w="1639"/>
        <w:gridCol w:w="1675"/>
        <w:gridCol w:w="196"/>
        <w:gridCol w:w="631"/>
        <w:gridCol w:w="109"/>
        <w:gridCol w:w="109"/>
        <w:gridCol w:w="109"/>
        <w:gridCol w:w="109"/>
        <w:gridCol w:w="196"/>
        <w:gridCol w:w="631"/>
        <w:gridCol w:w="109"/>
        <w:gridCol w:w="109"/>
        <w:gridCol w:w="109"/>
        <w:gridCol w:w="109"/>
        <w:gridCol w:w="196"/>
        <w:gridCol w:w="631"/>
        <w:gridCol w:w="109"/>
        <w:gridCol w:w="109"/>
        <w:gridCol w:w="109"/>
        <w:gridCol w:w="109"/>
        <w:gridCol w:w="196"/>
        <w:gridCol w:w="721"/>
        <w:gridCol w:w="154"/>
      </w:tblGrid>
      <w:tr>
        <w:trPr/>
        <w:tc>
          <w:tcPr>
            <w:tcW w:w="1876"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taxes: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 net of zero taxes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comprehensive income, net of taxes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Comprehensive income (loss) attributable to noncontrolling interest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(loss) attributable to Civeo Corporation</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center"/>
        <w:rPr/>
      </w:pPr>
      <w:r>
        <w:rPr/>
      </w:r>
    </w:p>
    <w:p>
      <w:pPr>
        <w:pStyle w:val="TextBody"/>
        <w:bidi w:val="0"/>
        <w:spacing w:lineRule="auto" w:line="288" w:before="140" w:after="283"/>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CIVEO CORPORATION</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(In Thousands, Excluding Share Amounts)</w:t>
      </w:r>
    </w:p>
    <w:p>
      <w:pPr>
        <w:pStyle w:val="TextBody"/>
        <w:bidi w:val="0"/>
        <w:spacing w:before="0" w:after="0"/>
        <w:ind w:left="0" w:right="0" w:firstLine="180"/>
        <w:jc w:val="center"/>
        <w:rPr/>
      </w:pPr>
      <w:r>
        <w:rPr/>
      </w:r>
    </w:p>
    <w:tbl>
      <w:tblPr>
        <w:tblW w:w="10205" w:type="dxa"/>
        <w:jc w:val="center"/>
        <w:tblInd w:w="0" w:type="dxa"/>
        <w:tblLayout w:type="fixed"/>
        <w:tblCellMar>
          <w:top w:w="28" w:type="dxa"/>
          <w:left w:w="28" w:type="dxa"/>
          <w:bottom w:w="28" w:type="dxa"/>
          <w:right w:w="28" w:type="dxa"/>
        </w:tblCellMar>
      </w:tblPr>
      <w:tblGrid>
        <w:gridCol w:w="2910"/>
        <w:gridCol w:w="2305"/>
        <w:gridCol w:w="2270"/>
        <w:gridCol w:w="203"/>
        <w:gridCol w:w="765"/>
        <w:gridCol w:w="112"/>
        <w:gridCol w:w="109"/>
        <w:gridCol w:w="109"/>
        <w:gridCol w:w="109"/>
        <w:gridCol w:w="236"/>
        <w:gridCol w:w="887"/>
        <w:gridCol w:w="190"/>
      </w:tblGrid>
      <w:tr>
        <w:trPr/>
        <w:tc>
          <w:tcPr>
            <w:tcW w:w="2910"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7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ASSETS</w:t>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90,470 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17,209 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161,848 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131,213 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223,030 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244,517 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70,410 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14,485 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487,855 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477,411 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LIABILITIES AND SHAREHOLDERS’ EQUITY</w:t>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44,282 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30,837 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85,789 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84,936 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182,842 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20,789 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328,446 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303,027 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shares (no par value; 46,000,000 shares authorized, 11,447,340 shares and 11,872,028 shares issued, respectively, and 10,997,156 shares and 11,434,033 shares outstanding, respectively)</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1,635,733 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1,634,883 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(1,079,880)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(1,058,911)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shares held in treasury at cost, 450,184 and 437,995 shares, respectively</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(11,112)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(385,332)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(390,813)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Civeo Corporation shareholders’ equity</w:t>
            </w:r>
          </w:p>
        </w:tc>
        <w:tc>
          <w:tcPr>
            <w:tcW w:w="9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159,409 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174,384 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9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159,409 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174,384 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487,855 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477,411 </w:t>
            </w:r>
          </w:p>
        </w:tc>
        <w:tc>
          <w:tcPr>
            <w:tcW w:w="1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ind w:left="0" w:right="0" w:hanging="90"/>
        <w:jc w:val="left"/>
        <w:rPr/>
      </w:pPr>
      <w:r>
        <w:rPr/>
      </w:r>
    </w:p>
    <w:p>
      <w:pPr>
        <w:pStyle w:val="TextBody"/>
        <w:bidi w:val="0"/>
        <w:spacing w:lineRule="auto" w:line="288" w:before="180" w:after="283"/>
        <w:ind w:left="0" w:right="0" w:hanging="9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CIVEO CORPORATION</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UNAUDITED CONSOLIDATED STATEMENTS OF</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CHANGES IN SHAREHOLDERS’ EQUITY</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(In Thousands)</w:t>
      </w:r>
    </w:p>
    <w:tbl>
      <w:tblPr>
        <w:tblW w:w="10716" w:type="dxa"/>
        <w:jc w:val="left"/>
        <w:tblInd w:w="0" w:type="dxa"/>
        <w:tblLayout w:type="fixed"/>
        <w:tblCellMar>
          <w:top w:w="28" w:type="dxa"/>
          <w:left w:w="28" w:type="dxa"/>
          <w:bottom w:w="28" w:type="dxa"/>
          <w:right w:w="28" w:type="dxa"/>
        </w:tblCellMar>
      </w:tblPr>
      <w:tblGrid>
        <w:gridCol w:w="611"/>
        <w:gridCol w:w="234"/>
        <w:gridCol w:w="236"/>
        <w:gridCol w:w="109"/>
        <w:gridCol w:w="109"/>
        <w:gridCol w:w="109"/>
        <w:gridCol w:w="109"/>
        <w:gridCol w:w="196"/>
        <w:gridCol w:w="406"/>
        <w:gridCol w:w="109"/>
        <w:gridCol w:w="109"/>
        <w:gridCol w:w="109"/>
        <w:gridCol w:w="109"/>
        <w:gridCol w:w="196"/>
        <w:gridCol w:w="886"/>
        <w:gridCol w:w="109"/>
        <w:gridCol w:w="109"/>
        <w:gridCol w:w="109"/>
        <w:gridCol w:w="109"/>
        <w:gridCol w:w="196"/>
        <w:gridCol w:w="886"/>
        <w:gridCol w:w="109"/>
        <w:gridCol w:w="109"/>
        <w:gridCol w:w="109"/>
        <w:gridCol w:w="109"/>
        <w:gridCol w:w="196"/>
        <w:gridCol w:w="661"/>
        <w:gridCol w:w="109"/>
        <w:gridCol w:w="109"/>
        <w:gridCol w:w="109"/>
        <w:gridCol w:w="109"/>
        <w:gridCol w:w="196"/>
        <w:gridCol w:w="751"/>
        <w:gridCol w:w="109"/>
        <w:gridCol w:w="109"/>
        <w:gridCol w:w="109"/>
        <w:gridCol w:w="109"/>
        <w:gridCol w:w="270"/>
        <w:gridCol w:w="600"/>
        <w:gridCol w:w="151"/>
        <w:gridCol w:w="109"/>
        <w:gridCol w:w="109"/>
        <w:gridCol w:w="109"/>
        <w:gridCol w:w="196"/>
        <w:gridCol w:w="751"/>
        <w:gridCol w:w="154"/>
      </w:tblGrid>
      <w:tr>
        <w:trPr/>
        <w:tc>
          <w:tcPr>
            <w:tcW w:w="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Attributable to Civeo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Shareholders’</w:t>
              <w:br/>
              <w:t>Equity</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1,632,420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(997,400)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(10,775)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(403,507)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220,738</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repurchased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on common shares repurchased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1,633,022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(1,020,236)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(10,775)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(392,573)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209,438</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1,635,135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(1,077,359)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(385,918)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160,746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1,635,733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(1,079,880)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(11,112)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(385,332)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159,409</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1,631,823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(980,720)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(404,600)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625</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236,998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repurchased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on common shares repurchased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1,633,022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(1,020,236)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(10,775)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(392,573)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209,438</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1,634,883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(1,058,911)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(390,813)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174,384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repurchased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on common shares repurchased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1,635,733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(1,079,880)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(11,112)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(385,332)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159,409</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656" w:type="dxa"/>
        <w:jc w:val="left"/>
        <w:tblInd w:w="0" w:type="dxa"/>
        <w:tblLayout w:type="fixed"/>
        <w:tblCellMar>
          <w:top w:w="28" w:type="dxa"/>
          <w:left w:w="28" w:type="dxa"/>
          <w:bottom w:w="28" w:type="dxa"/>
          <w:right w:w="28" w:type="dxa"/>
        </w:tblCellMar>
      </w:tblPr>
      <w:tblGrid>
        <w:gridCol w:w="786"/>
        <w:gridCol w:w="691"/>
        <w:gridCol w:w="697"/>
        <w:gridCol w:w="109"/>
        <w:gridCol w:w="109"/>
        <w:gridCol w:w="109"/>
        <w:gridCol w:w="109"/>
        <w:gridCol w:w="330"/>
        <w:gridCol w:w="331"/>
        <w:gridCol w:w="385"/>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Shares (in</w:t>
              <w:br/>
              <w:t>thousands)</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11,434</w:t>
            </w:r>
            <w:r>
              <w:rPr>
                <w:color w:val="000000"/>
              </w:rPr>
              <w:t> </w:t>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repurchased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10,997</w:t>
            </w:r>
            <w:r>
              <w:rPr>
                <w:color w:val="000000"/>
              </w:rPr>
              <w:t> </w:t>
            </w:r>
          </w:p>
        </w:tc>
        <w:tc>
          <w:tcPr>
            <w:tcW w:w="3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CIVEO CORPORATION</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UNAUDITED CONSOLIDATED STATEMENTS OF CASH FLOWS</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ind w:left="0" w:right="0" w:firstLine="180"/>
        <w:jc w:val="center"/>
        <w:rPr>
          <w:color w:val="000000"/>
        </w:rPr>
      </w:pPr>
      <w:r>
        <w:rPr>
          <w:color w:val="000000"/>
        </w:rPr>
        <w:t> </w:t>
      </w:r>
    </w:p>
    <w:tbl>
      <w:tblPr>
        <w:tblW w:w="8468" w:type="dxa"/>
        <w:jc w:val="left"/>
        <w:tblInd w:w="0" w:type="dxa"/>
        <w:tblLayout w:type="fixed"/>
        <w:tblCellMar>
          <w:top w:w="28" w:type="dxa"/>
          <w:left w:w="28" w:type="dxa"/>
          <w:bottom w:w="28" w:type="dxa"/>
          <w:right w:w="28" w:type="dxa"/>
        </w:tblCellMar>
      </w:tblPr>
      <w:tblGrid>
        <w:gridCol w:w="2217"/>
        <w:gridCol w:w="1943"/>
        <w:gridCol w:w="1959"/>
        <w:gridCol w:w="196"/>
        <w:gridCol w:w="646"/>
        <w:gridCol w:w="109"/>
        <w:gridCol w:w="109"/>
        <w:gridCol w:w="109"/>
        <w:gridCol w:w="109"/>
        <w:gridCol w:w="196"/>
        <w:gridCol w:w="721"/>
        <w:gridCol w:w="154"/>
      </w:tblGrid>
      <w:tr>
        <w:trPr/>
        <w:tc>
          <w:tcPr>
            <w:tcW w:w="2217"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9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provided by (used in)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compensation charge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on disposals of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 net of recoveries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and noncurrent assets and liabilities,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flows provided by (used in) operating activities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related to acquisitions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dispositions of property, plant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flows used in investing activities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(74,444)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credit borrowings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credit repayments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issuance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shares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on vested shares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flows provided by financing activities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cash and cash equivalents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end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40" w:after="283"/>
        <w:ind w:left="0" w:right="0" w:firstLine="180"/>
        <w:jc w:val="center"/>
        <w:rPr/>
      </w:pPr>
      <w:r>
        <w:rPr/>
      </w:r>
    </w:p>
    <w:p>
      <w:pPr>
        <w:pStyle w:val="TextBody"/>
        <w:bidi w:val="0"/>
        <w:spacing w:lineRule="auto" w:line="288" w:before="140" w:after="283"/>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CIVEO CORPORATION</w:t>
      </w:r>
    </w:p>
    <w:p>
      <w:pPr>
        <w:pStyle w:val="TextBody"/>
        <w:bidi w:val="0"/>
        <w:spacing w:lineRule="auto" w:line="288" w:before="0" w:after="0"/>
        <w:ind w:left="0" w:right="0" w:firstLine="315"/>
        <w:jc w:val="center"/>
        <w:rPr>
          <w:color w:val="000000"/>
        </w:rPr>
      </w:pPr>
      <w:r>
        <w:rPr>
          <w:color w:val="000000"/>
        </w:rPr>
        <w:t> </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NOTES TO UNAUDITED CONSOLIDATED</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FINANCIAL STATEMENTS</w:t>
      </w:r>
    </w:p>
    <w:p>
      <w:pPr>
        <w:pStyle w:val="TextBody"/>
        <w:bidi w:val="0"/>
        <w:spacing w:before="0" w:after="0"/>
        <w:ind w:left="0" w:right="0" w:firstLine="18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pPr>
      <w:r>
        <w:rPr>
          <w:rFonts w:ascii="Times New Roman;serif" w:hAnsi="Times New Roman;serif"/>
          <w:b/>
          <w:color w:val="000000"/>
          <w:sz w:val="20"/>
        </w:rPr>
        <w:t>1.DESCRIPTION OF BUSINESS</w:t>
      </w:r>
      <w:r>
        <w:rPr>
          <w:color w:val="000000"/>
        </w:rPr>
        <w:t xml:space="preserve"> </w:t>
      </w:r>
      <w:r>
        <w:rPr>
          <w:rFonts w:ascii="Times New Roman;serif" w:hAnsi="Times New Roman;serif"/>
          <w:b/>
          <w:color w:val="000000"/>
          <w:sz w:val="20"/>
        </w:rPr>
        <w:t xml:space="preserve">AND BASIS OF PRESENTATION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Description of the Business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provide hospitality services to remote workforces in Australia and Canada, including catering and food service, lodging, housekeeping and maintenance at accommodation facilities that we or our customers own. We provide services that support the day-to-day operations of these facilities, such as laundry, facility management and maintenance, water and wastewater treatment, power generation, communication systems, security and logistics. We also manage development activities for workforce accommodation facilities, including site selection, permitting, engineering and design and manufacturing and site construction management, along with providing hospitality services once the facility is constructed. We primarily operate in some of the world’s most active metallurgical (met) coal, oil, iron ore and liquefied natural gas (LNG) producing regions, and our customers include mining companies, major and independent oil companies, construction, engineering companies and oilfield and mining service companies. We operate in two principal reportable business segments – Australia and Canada.</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stated or the context otherwise indicates: (i) all references in these consolidated financial statements to “Civeo,” “us,” “our” or “we” refer to Civeo Corporation and its consolidated subsidiaries; and (ii) all references in this report to “dollars” or “$” are to United States (U.S.) dollars. Certain reclassifications have been made to the prior year financial statements for them to conform with the 2026 presentation. </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U.S. Generally Accepted Accounting Principles (GAAP) has been condensed or omitted pursuant to those rules and regulations. The unaudited consolidated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unaudited consolidated financial statements included in this report should be read in conjunction with our audited consolidated financial statements and accompanying notes included in our Annual Report on Form 10-K for the year ended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CIVEO CORPORATION</w:t>
      </w:r>
    </w:p>
    <w:p>
      <w:pPr>
        <w:pStyle w:val="TextBody"/>
        <w:bidi w:val="0"/>
        <w:spacing w:lineRule="auto" w:line="288" w:before="0" w:after="0"/>
        <w:ind w:left="0" w:right="0" w:firstLine="315"/>
        <w:jc w:val="center"/>
        <w:rPr>
          <w:color w:val="000000"/>
        </w:rPr>
      </w:pPr>
      <w:r>
        <w:rPr>
          <w:color w:val="000000"/>
        </w:rPr>
        <w:t> </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NOTES TO UNAUDITED CONSOLIDATED</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FINANCIAL STATEMENTS</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2.REVENUE</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disaggregates our revenue by our two reportable segments (Australia and Canada) into major categories for the periods indicated (in thousands):</w:t>
      </w:r>
    </w:p>
    <w:tbl>
      <w:tblPr>
        <w:tblW w:w="10155" w:type="dxa"/>
        <w:jc w:val="center"/>
        <w:tblInd w:w="0" w:type="dxa"/>
        <w:tblLayout w:type="fixed"/>
        <w:tblCellMar>
          <w:top w:w="28" w:type="dxa"/>
          <w:left w:w="28" w:type="dxa"/>
          <w:bottom w:w="28" w:type="dxa"/>
          <w:right w:w="28" w:type="dxa"/>
        </w:tblCellMar>
      </w:tblPr>
      <w:tblGrid>
        <w:gridCol w:w="1647"/>
        <w:gridCol w:w="1443"/>
        <w:gridCol w:w="145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647"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Australia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Accommodation and associated services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Integrated services and other services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Australia revenues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Canada</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Accommodation and associated services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Mobile facility rental and associated services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Integrated services and other services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Canada revenues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90,420 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306,738 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payment terms vary by the type and location of our customer and the services offered. The time between invoicing and when our performance obligations are satisfied is not significant. Payment terms are generally within 30 days and in most cases do not extend beyond 60 days. We do not have significant financing components or significant payment terms.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for contracts that are greater than one year, the table below discloses the estimated revenues related to performance obligations that are unsatisfied (or partially unsatisfied) and when we expect to recognize the revenue. The table only includes revenue expected to be recognized from contracts where the quantity of service is certain (in thousands):</w:t>
      </w:r>
    </w:p>
    <w:p>
      <w:pPr>
        <w:pStyle w:val="TextBody"/>
        <w:bidi w:val="0"/>
        <w:spacing w:before="0" w:after="0"/>
        <w:ind w:left="0" w:right="0" w:firstLine="540"/>
        <w:jc w:val="both"/>
        <w:rPr/>
      </w:pPr>
      <w:r>
        <w:rPr/>
      </w:r>
    </w:p>
    <w:tbl>
      <w:tblPr>
        <w:tblW w:w="10205" w:type="dxa"/>
        <w:jc w:val="center"/>
        <w:tblInd w:w="0" w:type="dxa"/>
        <w:tblLayout w:type="fixed"/>
        <w:tblCellMar>
          <w:top w:w="28" w:type="dxa"/>
          <w:left w:w="28" w:type="dxa"/>
          <w:bottom w:w="28" w:type="dxa"/>
          <w:right w:w="28" w:type="dxa"/>
        </w:tblCellMar>
      </w:tblPr>
      <w:tblGrid>
        <w:gridCol w:w="1386"/>
        <w:gridCol w:w="1217"/>
        <w:gridCol w:w="1222"/>
        <w:gridCol w:w="196"/>
        <w:gridCol w:w="64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6"/>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8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years ending December 31,</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expected to be recognized as of June 30, 2026</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530,223 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applied the practical expedient and do not disclose consideration for remaining performance obligations with an original expected duration of one year or less. In addition, we do not estimate revenues expected to be recognized related to unsatisfied performance obligations for contracts without minimum room commitments. The table above represents only a portion of our expected future consolidated revenues and it is not necessarily indicative of the expected trend in total revenues. </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3.FAIR VALUE MEASUREMENTS</w:t>
      </w:r>
    </w:p>
    <w:p>
      <w:pPr>
        <w:pStyle w:val="TextBody"/>
        <w:bidi w:val="0"/>
        <w:spacing w:lineRule="auto" w:line="288" w:before="0" w:after="0"/>
        <w:ind w:left="0" w:right="0" w:firstLine="405"/>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financial instruments consist of cash and cash equivalents, receivables, payables and debt instruments. We believe that the carrying values of these instruments on the accompanying consolidated balance sheets approximate their fair values.</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we believe the carrying value of our floating-rate debt outstanding under our revolving credit facilities approximates fair value because the terms include short-term interest rates and exclude penalties for prepayment. We estimated the fair value of our floating-rate revolving credit facilities using significant other observable inputs, representative of a Level 2 fair value measurement, including terms and credit spreads for these loans.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2025, we acquired accommodation assets, land and customer contracts and recorded them at fair value. Determining the fair value of assets acquired and liabilities assumed required the exercise of judgment,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CIVEO CORPORATION</w:t>
      </w:r>
    </w:p>
    <w:p>
      <w:pPr>
        <w:pStyle w:val="TextBody"/>
        <w:bidi w:val="0"/>
        <w:spacing w:lineRule="auto" w:line="288" w:before="0" w:after="0"/>
        <w:ind w:left="0" w:right="0" w:firstLine="315"/>
        <w:jc w:val="center"/>
        <w:rPr>
          <w:color w:val="000000"/>
        </w:rPr>
      </w:pPr>
      <w:r>
        <w:rPr>
          <w:color w:val="000000"/>
        </w:rPr>
        <w:t> </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NOTES TO UNAUDITED CONSOLIDATED</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FINANCIAL STATEMENTS</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included the use of a multi-period excess earnings income approach to determine the fair value of the customer relationships. Specifically, the fair value of the customer relationships was determined by calculating the present value of expected cash flows by applying a discount rate that represents the estimated rate that market participants would require for such intangible assets. The expected cash flows and related discount rate are significant unobservable inputs categorized within Level 3 of the fair value hierarchy. The cash flows employed in the valuation are based on our best estimates of future sales, earnings and cash flows after considering factors such as general market conditions, expected future customer orders, contracts with suppliers, labor costs, changes in working capital, long-term business plans and recent operating performance. </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4.DETAILS OF SELECTED BALANCE SHEET ACCOUNTS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 information regarding selected balance sheet accounts at June 30, 2026 and December 31, 2025 is presented below (in thousands):</w:t>
      </w:r>
    </w:p>
    <w:p>
      <w:pPr>
        <w:pStyle w:val="TextBody"/>
        <w:bidi w:val="0"/>
        <w:spacing w:lineRule="auto" w:line="288" w:before="0" w:after="0"/>
        <w:ind w:left="0" w:right="0" w:firstLine="540"/>
        <w:jc w:val="left"/>
        <w:rPr>
          <w:color w:val="000000"/>
        </w:rPr>
      </w:pPr>
      <w:r>
        <w:rPr>
          <w:color w:val="000000"/>
        </w:rPr>
        <w:t> </w:t>
      </w:r>
    </w:p>
    <w:tbl>
      <w:tblPr>
        <w:tblW w:w="5260" w:type="dxa"/>
        <w:jc w:val="center"/>
        <w:tblInd w:w="0" w:type="dxa"/>
        <w:tblLayout w:type="fixed"/>
        <w:tblCellMar>
          <w:top w:w="28" w:type="dxa"/>
          <w:left w:w="28" w:type="dxa"/>
          <w:bottom w:w="28" w:type="dxa"/>
          <w:right w:w="28" w:type="dxa"/>
        </w:tblCellMar>
      </w:tblPr>
      <w:tblGrid>
        <w:gridCol w:w="794"/>
        <w:gridCol w:w="695"/>
        <w:gridCol w:w="700"/>
        <w:gridCol w:w="217"/>
        <w:gridCol w:w="817"/>
        <w:gridCol w:w="121"/>
        <w:gridCol w:w="109"/>
        <w:gridCol w:w="109"/>
        <w:gridCol w:w="109"/>
        <w:gridCol w:w="313"/>
        <w:gridCol w:w="1031"/>
        <w:gridCol w:w="245"/>
      </w:tblGrid>
      <w:tr>
        <w:trPr/>
        <w:tc>
          <w:tcPr>
            <w:tcW w:w="79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Accounts receivable, net:</w:t>
            </w:r>
          </w:p>
        </w:tc>
        <w:tc>
          <w:tcPr>
            <w:tcW w:w="11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70,646 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revenue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accounts receivable</w:t>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110,511 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90,706 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accounts receivable, net</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109,487 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90,470 </w:t>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650" w:type="dxa"/>
        <w:jc w:val="center"/>
        <w:tblInd w:w="0" w:type="dxa"/>
        <w:tblLayout w:type="fixed"/>
        <w:tblCellMar>
          <w:top w:w="28" w:type="dxa"/>
          <w:left w:w="28" w:type="dxa"/>
          <w:bottom w:w="28" w:type="dxa"/>
          <w:right w:w="28" w:type="dxa"/>
        </w:tblCellMar>
      </w:tblPr>
      <w:tblGrid>
        <w:gridCol w:w="2019"/>
        <w:gridCol w:w="1775"/>
        <w:gridCol w:w="1785"/>
        <w:gridCol w:w="263"/>
        <w:gridCol w:w="746"/>
        <w:gridCol w:w="146"/>
        <w:gridCol w:w="109"/>
        <w:gridCol w:w="109"/>
        <w:gridCol w:w="109"/>
        <w:gridCol w:w="343"/>
        <w:gridCol w:w="976"/>
        <w:gridCol w:w="270"/>
      </w:tblGrid>
      <w:tr>
        <w:trPr/>
        <w:tc>
          <w:tcPr>
            <w:tcW w:w="2019"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Inventories:</w:t>
            </w:r>
          </w:p>
        </w:tc>
        <w:tc>
          <w:tcPr>
            <w:tcW w:w="11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 including purchased food, housekeeping and retail inventory</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inventories</w:t>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6,633 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6,218 </w:t>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tbl>
      <w:tblPr>
        <w:tblW w:w="7992" w:type="dxa"/>
        <w:jc w:val="center"/>
        <w:tblInd w:w="0" w:type="dxa"/>
        <w:tblLayout w:type="fixed"/>
        <w:tblCellMar>
          <w:top w:w="28" w:type="dxa"/>
          <w:left w:w="28" w:type="dxa"/>
          <w:bottom w:w="28" w:type="dxa"/>
          <w:right w:w="28" w:type="dxa"/>
        </w:tblCellMar>
      </w:tblPr>
      <w:tblGrid>
        <w:gridCol w:w="1065"/>
        <w:gridCol w:w="934"/>
        <w:gridCol w:w="940"/>
        <w:gridCol w:w="109"/>
        <w:gridCol w:w="109"/>
        <w:gridCol w:w="109"/>
        <w:gridCol w:w="109"/>
        <w:gridCol w:w="109"/>
        <w:gridCol w:w="109"/>
        <w:gridCol w:w="115"/>
        <w:gridCol w:w="115"/>
        <w:gridCol w:w="116"/>
        <w:gridCol w:w="109"/>
        <w:gridCol w:w="109"/>
        <w:gridCol w:w="109"/>
        <w:gridCol w:w="109"/>
        <w:gridCol w:w="109"/>
        <w:gridCol w:w="109"/>
        <w:gridCol w:w="109"/>
        <w:gridCol w:w="109"/>
        <w:gridCol w:w="109"/>
        <w:gridCol w:w="217"/>
        <w:gridCol w:w="817"/>
        <w:gridCol w:w="121"/>
        <w:gridCol w:w="109"/>
        <w:gridCol w:w="109"/>
        <w:gridCol w:w="109"/>
        <w:gridCol w:w="287"/>
        <w:gridCol w:w="1078"/>
        <w:gridCol w:w="225"/>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w:t>
              <w:br/>
              <w:t xml:space="preserve">Useful Life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 plant and equipment, net:</w:t>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29,476 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Accommodations assets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1,385,910 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1,410,965 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furniture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69,623 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Vehicles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1,527,747 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1,548,931 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(1,304,717)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(1,304,414)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223,030 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244,517 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CIVEO CORPORATION</w:t>
      </w:r>
    </w:p>
    <w:p>
      <w:pPr>
        <w:pStyle w:val="TextBody"/>
        <w:bidi w:val="0"/>
        <w:spacing w:lineRule="auto" w:line="288" w:before="0" w:after="0"/>
        <w:ind w:left="0" w:right="0" w:firstLine="315"/>
        <w:jc w:val="center"/>
        <w:rPr>
          <w:color w:val="000000"/>
        </w:rPr>
      </w:pPr>
      <w:r>
        <w:rPr>
          <w:color w:val="000000"/>
        </w:rPr>
        <w:t> </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NOTES TO UNAUDITED CONSOLIDATED</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FINANCIAL STATEMENTS</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(Continued)</w:t>
      </w:r>
    </w:p>
    <w:tbl>
      <w:tblPr>
        <w:tblW w:w="5951" w:type="dxa"/>
        <w:jc w:val="center"/>
        <w:tblInd w:w="0" w:type="dxa"/>
        <w:tblLayout w:type="fixed"/>
        <w:tblCellMar>
          <w:top w:w="28" w:type="dxa"/>
          <w:left w:w="28" w:type="dxa"/>
          <w:bottom w:w="28" w:type="dxa"/>
          <w:right w:w="28" w:type="dxa"/>
        </w:tblCellMar>
      </w:tblPr>
      <w:tblGrid>
        <w:gridCol w:w="1042"/>
        <w:gridCol w:w="916"/>
        <w:gridCol w:w="922"/>
        <w:gridCol w:w="238"/>
        <w:gridCol w:w="785"/>
        <w:gridCol w:w="132"/>
        <w:gridCol w:w="109"/>
        <w:gridCol w:w="109"/>
        <w:gridCol w:w="109"/>
        <w:gridCol w:w="313"/>
        <w:gridCol w:w="1031"/>
        <w:gridCol w:w="245"/>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Accrued liabilities:</w:t>
            </w:r>
          </w:p>
        </w:tc>
        <w:tc>
          <w:tcPr>
            <w:tcW w:w="11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24,682 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taxes, other than income taxes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accrued liabilities</w:t>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32,328 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30,837 </w:t>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left"/>
        <w:rPr>
          <w:color w:val="000000"/>
        </w:rPr>
      </w:pPr>
      <w:r>
        <w:rPr>
          <w:color w:val="000000"/>
        </w:rPr>
        <w:t> </w:t>
      </w:r>
    </w:p>
    <w:p>
      <w:pPr>
        <w:pStyle w:val="TextBody"/>
        <w:bidi w:val="0"/>
        <w:spacing w:before="0" w:after="0"/>
        <w:ind w:left="0" w:right="0" w:firstLine="180"/>
        <w:jc w:val="both"/>
        <w:rPr/>
      </w:pPr>
      <w:r>
        <w:rPr/>
      </w:r>
    </w:p>
    <w:tbl>
      <w:tblPr>
        <w:tblW w:w="6221" w:type="dxa"/>
        <w:jc w:val="left"/>
        <w:tblInd w:w="0" w:type="dxa"/>
        <w:tblLayout w:type="fixed"/>
        <w:tblCellMar>
          <w:top w:w="28" w:type="dxa"/>
          <w:left w:w="28" w:type="dxa"/>
          <w:bottom w:w="28" w:type="dxa"/>
          <w:right w:w="28" w:type="dxa"/>
        </w:tblCellMar>
      </w:tblPr>
      <w:tblGrid>
        <w:gridCol w:w="1142"/>
        <w:gridCol w:w="1002"/>
        <w:gridCol w:w="1006"/>
        <w:gridCol w:w="263"/>
        <w:gridCol w:w="746"/>
        <w:gridCol w:w="146"/>
        <w:gridCol w:w="109"/>
        <w:gridCol w:w="109"/>
        <w:gridCol w:w="109"/>
        <w:gridCol w:w="343"/>
        <w:gridCol w:w="976"/>
        <w:gridCol w:w="270"/>
      </w:tblGrid>
      <w:tr>
        <w:trPr/>
        <w:tc>
          <w:tcPr>
            <w:tcW w:w="114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Contract assets: </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Current contract assets </w:t>
            </w:r>
            <w:r>
              <w:rPr>
                <w:rFonts w:ascii="Times New Roman;serif" w:hAnsi="Times New Roman;serif"/>
                <w:b w:val="false"/>
                <w:color w:val="000000"/>
                <w:sz w:val="12"/>
              </w:rPr>
              <w:t>(1)</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Noncurrent contract assets </w:t>
            </w:r>
            <w:r>
              <w:rPr>
                <w:rFonts w:ascii="Times New Roman;serif" w:hAnsi="Times New Roman;serif"/>
                <w:b w:val="false"/>
                <w:color w:val="000000"/>
                <w:sz w:val="12"/>
              </w:rPr>
              <w:t>(1)</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contract assets</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5,078 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4,088 </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Contract liabilities (Deferred revenue):</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Current contract liabilities </w:t>
            </w:r>
            <w:r>
              <w:rPr>
                <w:rFonts w:ascii="Times New Roman;serif" w:hAnsi="Times New Roman;serif"/>
                <w:b w:val="false"/>
                <w:color w:val="000000"/>
                <w:sz w:val="12"/>
              </w:rPr>
              <w:t>(2)</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2,903 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Noncurrent contract liabilities </w:t>
            </w:r>
            <w:r>
              <w:rPr>
                <w:rFonts w:ascii="Times New Roman;serif" w:hAnsi="Times New Roman;serif"/>
                <w:b w:val="false"/>
                <w:color w:val="000000"/>
                <w:sz w:val="12"/>
              </w:rPr>
              <w:t>(2)</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contract liabilities (Deferred revenue)</w:t>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5,742 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5,811 </w:t>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20"/>
        </w:rPr>
        <w:t xml:space="preserve">Current contract assets and Noncurrent contract assets are included in "Other current assets" and "Other noncurrent assets," respectively, in our unaudited consolidated balance sheets. </w:t>
      </w:r>
    </w:p>
    <w:p>
      <w:pPr>
        <w:pStyle w:val="TextBody"/>
        <w:bidi w:val="0"/>
        <w:spacing w:lineRule="auto" w:line="288" w:before="0" w:after="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20"/>
        </w:rPr>
        <w:t xml:space="preserve">Current contract liabilities and Noncurrent contract liabilities are included in "Deferred revenue" and "Other noncurrent liabilities," respectively, in our unaudited consolidated balance sheets.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Contract assets consists of upfront incentives offered as consideration for entering into multi-year contracts. These incentives are refundable to us if the customer cancels the contract prior to the end of the contracted terms. The contract assets are amortized as a reduction of revenue over the contract term as the related services are provided. The increase in contract assets from December 31, 2025 to June 30, 2026 was due to incentives provided to a customer in Australia, beginning in the first quarter of 2025, in connection with entering into a six-year integrated services contract.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Deferred revenue typically consists of upfront payments received before we satisfy the associated performance obligation. The decrease in deferred revenue from December 31, 2025 to June 30, 2026 was due to revenue recognized over the contracted terms related to advance payments received from a customer for village enhancements in Australia.</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CIVEO CORPORATION</w:t>
      </w:r>
    </w:p>
    <w:p>
      <w:pPr>
        <w:pStyle w:val="TextBody"/>
        <w:bidi w:val="0"/>
        <w:spacing w:lineRule="auto" w:line="288" w:before="0" w:after="0"/>
        <w:ind w:left="0" w:right="0" w:firstLine="315"/>
        <w:jc w:val="center"/>
        <w:rPr>
          <w:color w:val="000000"/>
        </w:rPr>
      </w:pPr>
      <w:r>
        <w:rPr>
          <w:color w:val="000000"/>
        </w:rPr>
        <w:t> </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NOTES TO UNAUDITED CONSOLIDATED</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FINANCIAL STATEMENTS</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5.ASSET ACQUISITION</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May 6, 2025, we acquired assets of Qantac Pty Ltd (Qantac), located in Queensland, Australia (the Qantac Acquisition) for total consideration of A$105 million (or approximately US$68 million) in cash. The Qantac Acquisition included four villages, with 1,368 rooms in Australia’s Bowen Basin and the associated accommodation assets, land and customer contracts. As a result of the Qantac Acquisition, we expanded our existing accommodations business into the Blackwater region of the Bowen Basin, which was not previously served by our existing villages. The Qantac Acquisition was funded with cash on hand and borrowings under the Amended Credit Agreement (as defined in Note 7). Qantac’s operations are reported as new village locations in our Australia reportable business segment.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Qantac Acquisition was accounted for as an asset acquisition based on the principles described in Accounting Standards Codification Topic 805, Business Combinations, which provides a screen to determine when a set of transferred assets is not a business. The screen requires that when substantially all of the fair value of the gross assets acquired is concentrated in a single identifiable asset or a group of similarly identifiable assets, the set of transferred assets is not a business. Under the accounting for asset acquisitions, the acquisition is recorded using a cost accumulation and allocation model under which the cost of such acquisition is allocated on a relative fair value basis to the assets acquired and liabilities assumed. Acquisition-related transaction costs are capitalized as a component of the cost of the assets acquired. Goodwill is not recognized in an asset acquisition, and any difference between consideration transferred and the fair value of the net assets acquired is allocated to the certain identifiable assets acquired based on their relative fair values.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purchase price was allocated to the net assets as follows (in thousands): </w:t>
      </w:r>
    </w:p>
    <w:tbl>
      <w:tblPr>
        <w:tblW w:w="3531" w:type="dxa"/>
        <w:jc w:val="left"/>
        <w:tblInd w:w="0" w:type="dxa"/>
        <w:tblLayout w:type="fixed"/>
        <w:tblCellMar>
          <w:top w:w="28" w:type="dxa"/>
          <w:left w:w="28" w:type="dxa"/>
          <w:bottom w:w="28" w:type="dxa"/>
          <w:right w:w="28" w:type="dxa"/>
        </w:tblCellMar>
      </w:tblPr>
      <w:tblGrid>
        <w:gridCol w:w="917"/>
        <w:gridCol w:w="807"/>
        <w:gridCol w:w="811"/>
        <w:gridCol w:w="196"/>
        <w:gridCol w:w="646"/>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Consideration:</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 transaction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of the asset acquisition</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72,790 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935" w:type="dxa"/>
        <w:jc w:val="left"/>
        <w:tblInd w:w="0" w:type="dxa"/>
        <w:tblLayout w:type="fixed"/>
        <w:tblCellMar>
          <w:top w:w="28" w:type="dxa"/>
          <w:left w:w="28" w:type="dxa"/>
          <w:bottom w:w="28" w:type="dxa"/>
          <w:right w:w="28" w:type="dxa"/>
        </w:tblCellMar>
      </w:tblPr>
      <w:tblGrid>
        <w:gridCol w:w="1065"/>
        <w:gridCol w:w="935"/>
        <w:gridCol w:w="939"/>
        <w:gridCol w:w="196"/>
        <w:gridCol w:w="646"/>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acquired</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76,758 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assumed</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assets acquired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72,790 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6.EARNINGS PER SHARE</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calculate our basic earnings per share by dividing net income (loss) attributable to Civeo Corporation by the weighted average number of common shares outstanding. For diluted earnings per share, the basic shares outstanding are adjusted by adding all potentially dilutive securities. </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CIVEO CORPORATION</w:t>
      </w:r>
    </w:p>
    <w:p>
      <w:pPr>
        <w:pStyle w:val="TextBody"/>
        <w:bidi w:val="0"/>
        <w:spacing w:lineRule="auto" w:line="288" w:before="0" w:after="0"/>
        <w:ind w:left="0" w:right="0" w:firstLine="315"/>
        <w:jc w:val="center"/>
        <w:rPr>
          <w:color w:val="000000"/>
        </w:rPr>
      </w:pPr>
      <w:r>
        <w:rPr>
          <w:color w:val="000000"/>
        </w:rPr>
        <w:t> </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NOTES TO UNAUDITED CONSOLIDATED</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FINANCIAL STATEMENTS</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calculation of basic and diluted earnings per share attributable to Civeo common shareholders is presented below for the periods indicated (in thousands, except per share amounts):</w:t>
      </w:r>
    </w:p>
    <w:tbl>
      <w:tblPr>
        <w:tblW w:w="10205" w:type="dxa"/>
        <w:jc w:val="center"/>
        <w:tblInd w:w="0" w:type="dxa"/>
        <w:tblLayout w:type="fixed"/>
        <w:tblCellMar>
          <w:top w:w="28" w:type="dxa"/>
          <w:left w:w="28" w:type="dxa"/>
          <w:bottom w:w="28" w:type="dxa"/>
          <w:right w:w="28" w:type="dxa"/>
        </w:tblCellMar>
      </w:tblPr>
      <w:tblGrid>
        <w:gridCol w:w="1894"/>
        <w:gridCol w:w="1645"/>
        <w:gridCol w:w="1649"/>
        <w:gridCol w:w="213"/>
        <w:gridCol w:w="677"/>
        <w:gridCol w:w="118"/>
        <w:gridCol w:w="118"/>
        <w:gridCol w:w="118"/>
        <w:gridCol w:w="118"/>
        <w:gridCol w:w="213"/>
        <w:gridCol w:w="677"/>
        <w:gridCol w:w="118"/>
        <w:gridCol w:w="109"/>
        <w:gridCol w:w="109"/>
        <w:gridCol w:w="109"/>
        <w:gridCol w:w="196"/>
        <w:gridCol w:w="620"/>
        <w:gridCol w:w="109"/>
        <w:gridCol w:w="109"/>
        <w:gridCol w:w="109"/>
        <w:gridCol w:w="109"/>
        <w:gridCol w:w="196"/>
        <w:gridCol w:w="710"/>
        <w:gridCol w:w="162"/>
      </w:tblGrid>
      <w:tr>
        <w:trPr/>
        <w:tc>
          <w:tcPr>
            <w:tcW w:w="1894"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1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loss attributable to Civeo Corporation</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loss attributable to Civeo Corporation</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(3,314)</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(13,156)</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basic</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shares - share-based awards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diluted</w:t>
            </w:r>
          </w:p>
        </w:tc>
        <w:tc>
          <w:tcPr>
            <w:tcW w:w="8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10,930 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13,177 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13,387 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Basic net loss per share attributable to Civeo Corporation common shareholders</w:t>
            </w:r>
            <w:r>
              <w:rPr>
                <w:color w:val="000000"/>
              </w:rPr>
              <w:t xml:space="preserve"> </w:t>
            </w:r>
            <w:r>
              <w:rPr>
                <w:rFonts w:ascii="Times New Roman;serif" w:hAnsi="Times New Roman;serif"/>
                <w:b w:val="false"/>
                <w:color w:val="000000"/>
                <w:sz w:val="12"/>
              </w:rPr>
              <w:t>(1)</w:t>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Diluted net loss per share attributable to Civeo Corporation common shareholders </w:t>
            </w:r>
            <w:r>
              <w:rPr>
                <w:rFonts w:ascii="Times New Roman;serif" w:hAnsi="Times New Roman;serif"/>
                <w:b w:val="false"/>
                <w:color w:val="000000"/>
                <w:sz w:val="12"/>
              </w:rPr>
              <w:t>(1)</w:t>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 xml:space="preserve">Computations may reflect rounding adjustments. </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Share-based awards that have been excluded from the calculation of weighted-average common shares outstanding because the effect is anti-dilutive totaled 0.2 million shares and 0.1 million shares, respectively, for the three months ended June 30, 2026 and 2025. Share-based awards that have been excluded from the calculation of weighted-average common shares outstanding because the effect is anti-dilutive totaled 0.1 million shares and 0.1 million shares, respectively, for the six months ended June 30, 2026 and 2025.</w:t>
      </w:r>
    </w:p>
    <w:p>
      <w:pPr>
        <w:pStyle w:val="TextBody"/>
        <w:bidi w:val="0"/>
        <w:spacing w:before="0" w:after="0"/>
        <w:ind w:left="0" w:right="0" w:firstLine="540"/>
        <w:jc w:val="both"/>
        <w:rPr/>
      </w:pPr>
      <w:r>
        <w:rPr/>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CIVEO CORPORATION</w:t>
      </w:r>
    </w:p>
    <w:p>
      <w:pPr>
        <w:pStyle w:val="TextBody"/>
        <w:bidi w:val="0"/>
        <w:spacing w:lineRule="auto" w:line="288" w:before="0" w:after="0"/>
        <w:ind w:left="0" w:right="0" w:firstLine="315"/>
        <w:jc w:val="center"/>
        <w:rPr>
          <w:color w:val="000000"/>
        </w:rPr>
      </w:pPr>
      <w:r>
        <w:rPr>
          <w:color w:val="000000"/>
        </w:rPr>
        <w:t> </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NOTES TO UNAUDITED CONSOLIDATED</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FINANCIAL STATEMENTS</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7.DEBT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long-term debt consisted of the following (in thousands):</w:t>
      </w:r>
    </w:p>
    <w:p>
      <w:pPr>
        <w:pStyle w:val="TextBody"/>
        <w:bidi w:val="0"/>
        <w:spacing w:lineRule="auto" w:line="288" w:before="0" w:after="0"/>
        <w:ind w:left="0" w:right="0" w:firstLine="54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625"/>
        <w:gridCol w:w="2298"/>
        <w:gridCol w:w="2316"/>
        <w:gridCol w:w="213"/>
        <w:gridCol w:w="802"/>
        <w:gridCol w:w="118"/>
        <w:gridCol w:w="109"/>
        <w:gridCol w:w="109"/>
        <w:gridCol w:w="109"/>
        <w:gridCol w:w="271"/>
        <w:gridCol w:w="1018"/>
        <w:gridCol w:w="217"/>
      </w:tblGrid>
      <w:tr>
        <w:trPr/>
        <w:tc>
          <w:tcPr>
            <w:tcW w:w="2625"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U.S. revolving credit facility; weighted average interest rate of 8.9% for the six month period ended June 30, 2026</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Canadian revolving credit facility; weighted average interest rate of 5.9% for the six month period ended June 30, 2026</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132,787 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Australian revolving credit facility; weighted average interest rate of 7.2% for the six month period ended June 30, 2026</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50,055 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208,595 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182,842 </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jc w:val="left"/>
        <w:rPr/>
      </w:pPr>
      <w:r>
        <w:rPr>
          <w:rFonts w:ascii="Times New Roman;serif" w:hAnsi="Times New Roman;serif"/>
          <w:b/>
          <w:i/>
          <w:color w:val="000000"/>
          <w:sz w:val="20"/>
        </w:rPr>
        <w:t>Credit</w:t>
      </w:r>
      <w:r>
        <w:rPr>
          <w:color w:val="000000"/>
        </w:rPr>
        <w:t xml:space="preserve"> </w:t>
      </w:r>
      <w:r>
        <w:rPr>
          <w:rFonts w:ascii="Times New Roman;serif" w:hAnsi="Times New Roman;serif"/>
          <w:b/>
          <w:i/>
          <w:color w:val="000000"/>
          <w:sz w:val="20"/>
        </w:rPr>
        <w:t>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our Syndicated Facility Agreement, the Credit Agreement, provided for a $265.0 million revolving credit facility scheduled to mature on August 8, 2028, allocated as follows: (A) a $10.0 million senior secured revolving credit facility in favor of certain of our U.S. subsidiaries, as borrowers; (B) a $200.0 million senior secured revolving credit facility in favor of Civeo and certain of our U.S. subsidiaries, as borrowers; and (C) a $55.0 million senior secured revolving credit facility in favor of one of our Australian subsidiaries, as borrower.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April 23, 2026, the Credit Agreement was amended and restated (as amended to date, the Amended Credit Agreement) to, among other things:</w:t>
      </w:r>
    </w:p>
    <w:p>
      <w:pPr>
        <w:pStyle w:val="TextBody"/>
        <w:bidi w:val="0"/>
        <w:spacing w:before="0" w:after="0"/>
        <w:ind w:left="0" w:right="0" w:firstLine="54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provide for an increase by $20.0 million of the aggregate revolving loan commitments under the Amended Credit Agreement, to an aggregate maximum principal amount of $285.0 million, allocated as follows: (A) a $10.0 million senior secured revolving credit facility in favor of certain of our U.S. subsidiaries, as borrowers (the U.S. Facility); (B) a $205.0 million senior secured revolving credit facility in favor of Civeo, as borrower (the Canadian Facility); and (C) a $70.0 million senior secured revolving credit facility in favor of one of our Australian subsidiaries, as borrowers;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extend the maturity from August 8, 2028 to April 23, 2030;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provide for other technical changes and amendments to the Credit Agreement.</w: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U.S. dollar amounts outstanding under the facilities provided by the Amended Credit Agreement bear interest at a variable rate equal to Adjusted Term Secured Overnight Financing Rate (SOFR), which is equal to Term SOFR plus a 10 basis point adjustment, plus a margin of 2.50% to 3.75%, or a base rate plus a margin of 1.50% to 2.75%, in each case based on a ratio of our total net debt to Consolidated EBITDA (as defined in the Amended Credit Agreement). Canadian dollar amounts outstanding bear interest at a variable rate equal to Adjusted Term Canadian Overnight Repo Rate Average (CORRA), which is equal to the Term CORRA plus a 29.55 basis point adjustment for one month terms or a 32.14 basis point adjustment for three month terms, plus a margin of 2.50% to 3.75%, or a Canadian Prime rate plus a margin of 1.50% to 2.75%, in each case based on a ratio of our total net debt to Consolidated EBITDA (as defined in the Amended Credit Agreement). Australian dollar amounts outstanding under the Amended Credit Agreement bear interest at a variable rate equal to the Bank Bill Swap Bid Rate plus a margin of 2.50% to 3.75%, based on a ratio of our total net debt to Consolidated EBITDA (as defined in the Amended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CIVEO CORPORATION</w:t>
      </w:r>
    </w:p>
    <w:p>
      <w:pPr>
        <w:pStyle w:val="TextBody"/>
        <w:bidi w:val="0"/>
        <w:spacing w:lineRule="auto" w:line="288" w:before="0" w:after="0"/>
        <w:ind w:left="0" w:right="0" w:firstLine="315"/>
        <w:jc w:val="center"/>
        <w:rPr>
          <w:color w:val="000000"/>
        </w:rPr>
      </w:pPr>
      <w:r>
        <w:rPr>
          <w:color w:val="000000"/>
        </w:rPr>
        <w:t> </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NOTES TO UNAUDITED CONSOLIDATED</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FINANCIAL STATEMENTS</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contains customary affirmative and negative covenants that, among other things, limit or restrict: (i) indebtedness, liens and fundamental changes; (ii) asset sales; (iii) specified acquisitions; (iv) certain restrictive agreements; (v) transactions with affiliates; and (vi) investments and other restricted payments, including dividends and other distributions. In addition, we must maintain a minimum interest coverage ratio, defined as the ratio of consolidated EBITDA to consolidated interest expense, of at least 3.00 to 1.00 and a maximum net leverage ratio, defined as the ratio of total net debt to Consolidated EBITDA, of no greater than 3.00 to 1.00. Following a qualified offering of indebtedness or convertible indebtedness, we will be required to maintain a maximum leverage ratio of no greater than 3.50 to 1.00 and a maximum senior secured leverage ratio no greater than 2.50 to 1.00. Each of the factors considered in the calculations of these ratios are defined in the Amended Credit Agreement. EBITDA and consolidated interest, as defined, exclude goodwill and asset impairments, debt discount amortization, amortization of intangibles and other non-cash charges. We were in compliance with our covenants as of June 30, 2026.</w:t>
      </w:r>
    </w:p>
    <w:p>
      <w:pPr>
        <w:pStyle w:val="TextBody"/>
        <w:bidi w:val="0"/>
        <w:spacing w:lineRule="auto" w:line="288" w:before="120" w:after="1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Amended Credit Agreement are secured by a pledge of substantially all of our assets and the assets of our subsidiaries subject to customary exceptions. The obligations under the Amended Credit Agreement are guaranteed by our material subsidiaries. As of June 30, 2026, we had six lenders that were parties to the Amended Credit Agreement, with total revolving commitments ranging from $37.5 million to $52.5 million. As of June 30, 2026, we had outstanding letters of credit of zero under the U.S. facility, zero under the Australian facility and $0.8 million under the Canadian facility. We also had outstanding bank guarantees of A$1.4 million under the Australian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20"/>
        <w:ind w:left="0" w:right="0" w:hanging="360"/>
        <w:jc w:val="left"/>
        <w:rPr>
          <w:rFonts w:ascii="Times New Roman;serif" w:hAnsi="Times New Roman;serif"/>
          <w:b/>
          <w:color w:val="000000"/>
          <w:sz w:val="20"/>
        </w:rPr>
      </w:pPr>
      <w:r>
        <w:rPr>
          <w:rFonts w:ascii="Times New Roman;serif" w:hAnsi="Times New Roman;serif"/>
          <w:b/>
          <w:color w:val="000000"/>
          <w:sz w:val="20"/>
        </w:rPr>
        <w:t>8.INCOME TAXES</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operations are conducted through various subsidiaries in a number of countries throughout the world. We have provided for income taxes based upon the tax laws and rates in the countries in which operations are conducted and income is earned. We operate in three jurisdictions, Australia, Canada and the U.S., where statutory tax rates range from 15% to 30%. Our effective tax rate will vary from period to period based on changes in earnings mix between these different jurisdictions.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compute our quarterly taxes under the effective tax rate method by applying an anticipated annual effective rate to our year-to-date income, except for significant unusual or extraordinary transactions. Income taxes for any significant and unusual or extraordinary transactions are computed and recorded in the period in which the specific transaction occurs. As of June 30, 2026 and 2025, Canada and the U.S. were considered loss jurisdictions for tax accounting purposes and were removed from the annual effective tax rate computation for purposes of computing the interim tax provision.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income tax expense for the three months ended June 30, 2026 totaled $3.5 million, or 349.7% of pretax income, compared to income tax expense of $3.6 million, or 1222.4% of pretax income, for the three months ended June 30, 2025. Our effective tax rate for the three months ended June 30, 2026 and 2025 was impacted by Canada and the U.S. being considered loss jurisdictions that were removed from the annual effective tax rate computation for purposes of computing the interim tax provision.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income tax expense for the six months ended June 30, 2026 totaled $6.7 million, or 1926.6% of pretax income, compared to income tax expense of $6.7 million, or (103.5)% of pretax loss, for the six months ended June 30, 2025. Our effective tax rate for the six months ended June 30, 2026 and 2025 was impacted by Canada and the U.S. being considered loss jurisdictions that were removed from the annual effective tax rate computation for purposes of computing the interim tax provision. </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9.COMMITMENTS AND CONTINGENCIES</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10.ACCUMULATED OTHER COMPREHENSIVE LOSS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accumulated other comprehensive loss decreased $5.5 million from $390.8 million at December 31, 2025 to $385.3 million at June 30, 2026, as a result of foreign currency exchange rate fluctuations. Changes in other comprehensive loss during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CIVEO CORPORATION</w:t>
      </w:r>
    </w:p>
    <w:p>
      <w:pPr>
        <w:pStyle w:val="TextBody"/>
        <w:bidi w:val="0"/>
        <w:spacing w:lineRule="auto" w:line="288" w:before="0" w:after="0"/>
        <w:ind w:left="0" w:right="0" w:firstLine="315"/>
        <w:jc w:val="center"/>
        <w:rPr>
          <w:color w:val="000000"/>
        </w:rPr>
      </w:pPr>
      <w:r>
        <w:rPr>
          <w:color w:val="000000"/>
        </w:rPr>
        <w:t> </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NOTES TO UNAUDITED CONSOLIDATED</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FINANCIAL STATEMENTS</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0" w:after="0"/>
        <w:jc w:val="both"/>
        <w:rPr/>
      </w:pPr>
      <w:r>
        <w:rPr>
          <w:rFonts w:ascii="Times New Roman;serif" w:hAnsi="Times New Roman;serif"/>
          <w:b w:val="false"/>
          <w:color w:val="000000"/>
          <w:sz w:val="20"/>
        </w:rPr>
        <w:t>the six months of 2026 were primarily driven by the Australian dollar increasing in value compared to the U.S. dollar and the Canadian dollar decreasing in value compared to the U.S. dollar. Excluding intercompany balances, our Australian dollar functional currency net assets totaled approximately A$249 million and our Canadian dollar functional currency net liabilities totaled approximately C$18 million at June 30, 2026.</w:t>
      </w:r>
      <w:r>
        <w:rPr>
          <w:color w:val="000000"/>
        </w:rPr>
        <w: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pPr>
      <w:r>
        <w:rPr>
          <w:rFonts w:ascii="Times New Roman;serif" w:hAnsi="Times New Roman;serif"/>
          <w:b/>
          <w:color w:val="000000"/>
          <w:sz w:val="20"/>
        </w:rPr>
        <w:t>11.</w:t>
      </w:r>
      <w:r>
        <w:rPr>
          <w:color w:val="000000"/>
        </w:rPr>
        <w:t xml:space="preserve"> </w:t>
      </w:r>
      <w:r>
        <w:rPr>
          <w:rFonts w:ascii="Times New Roman;serif" w:hAnsi="Times New Roman;serif"/>
          <w:b/>
          <w:color w:val="000000"/>
          <w:sz w:val="20"/>
        </w:rPr>
        <w:t>SHARE REPURCHASE PROGRAMS AND DIVIDENDS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Share Repurchase Programs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March 2025, our Board of Directors (Board) authorized a common share repurchase program (the Share Repurchase Program) to repurchase up to 10.0% of our total common shares which were issued and outstanding at that date, or approximately 1.4 million common shares over a twelve month period. In April 2025, our Board authorized an increase to the Share Repurchase Program to repurchase up to 20.0% of our total common shares which are issued and outstanding at that date, or approximately 2.7 million common shares. In March 2026, our Board authorized an additional repurchase authorization of up to 10.0% of our common shares outstanding upon completion of the existing Share Repurchase Program.</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repurchase authorization allows repurchases from time to time through a variety of methods, including but not limited to open market repurchases, pursuant to a Rule 10b5-1 compliant plan, or privately negotiated transactions. We have funded, and intend to continue to fund, repurchases through cash on hand, cash from debt incurrences and cash generated from operations. Any common shares repurchased are cancelled in the periods they are acquired and the payment is accounted for as an increase to accumulated deficit in our Unaudited Consolidated Statements of Changes in Shareholders’ Equity in the period the payment is made.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common share repurchases for the periods presented (in thousands, except per share data):</w:t>
      </w:r>
    </w:p>
    <w:tbl>
      <w:tblPr>
        <w:tblW w:w="7641" w:type="dxa"/>
        <w:jc w:val="center"/>
        <w:tblInd w:w="0" w:type="dxa"/>
        <w:tblLayout w:type="fixed"/>
        <w:tblCellMar>
          <w:top w:w="28" w:type="dxa"/>
          <w:left w:w="28" w:type="dxa"/>
          <w:bottom w:w="28" w:type="dxa"/>
          <w:right w:w="28" w:type="dxa"/>
        </w:tblCellMar>
      </w:tblPr>
      <w:tblGrid>
        <w:gridCol w:w="939"/>
        <w:gridCol w:w="825"/>
        <w:gridCol w:w="830"/>
        <w:gridCol w:w="257"/>
        <w:gridCol w:w="495"/>
        <w:gridCol w:w="133"/>
        <w:gridCol w:w="133"/>
        <w:gridCol w:w="133"/>
        <w:gridCol w:w="133"/>
        <w:gridCol w:w="239"/>
        <w:gridCol w:w="788"/>
        <w:gridCol w:w="133"/>
        <w:gridCol w:w="109"/>
        <w:gridCol w:w="109"/>
        <w:gridCol w:w="109"/>
        <w:gridCol w:w="196"/>
        <w:gridCol w:w="647"/>
        <w:gridCol w:w="109"/>
        <w:gridCol w:w="109"/>
        <w:gridCol w:w="109"/>
        <w:gridCol w:w="109"/>
        <w:gridCol w:w="196"/>
        <w:gridCol w:w="647"/>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Dollar-value of shares repurchased</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19,140 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repurchased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price paid per share</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our 4.50% Convertible Senior Notes due 2031, we repurchased 660,297 common shares for a total of approximately $22.3 million. See Note 14 - Subsequent Event for further discussion.</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12.SHARE-BASED COMPENSATION</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key employees and non-employee directors participate in the Amended and Restated 2014 Equity Participation Plan of Civeo Corporation (the Civeo Plan). The Civeo Plan authorizes our Board and the Compensation Committee of our Board to approve and grant awards of options, awards of share appreciation rights, awards of restricted shares, performance share awards, phantom share units and dividend equivalents, awards of deferred shares, and share payments to our employees and non-employee directors. Approximately 3.5 million Civeo common shares are authorized to be issued under the Civeo Plan.</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jc w:val="both"/>
        <w:rPr/>
      </w:pPr>
      <w:r>
        <w:rPr>
          <w:rFonts w:ascii="Times New Roman;serif" w:hAnsi="Times New Roman;serif"/>
          <w:b/>
          <w:i/>
          <w:color w:val="000000"/>
          <w:sz w:val="20"/>
        </w:rPr>
        <w:t>Outstanding Awards</w:t>
      </w:r>
      <w:r>
        <w:rPr>
          <w:color w:val="000000"/>
        </w:rPr>
        <w:t> </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pPr>
      <w:r>
        <w:rPr>
          <w:rFonts w:ascii="Times New Roman;serif" w:hAnsi="Times New Roman;serif"/>
          <w:b/>
          <w:i/>
          <w:color w:val="000000"/>
          <w:sz w:val="20"/>
        </w:rPr>
        <w:t>Phantom Share</w:t>
      </w:r>
      <w:r>
        <w:rPr>
          <w:color w:val="000000"/>
        </w:rPr>
        <w:t xml:space="preserve"> </w:t>
      </w:r>
      <w:r>
        <w:rPr>
          <w:rFonts w:ascii="Times New Roman;serif" w:hAnsi="Times New Roman;serif"/>
          <w:b/>
          <w:i/>
          <w:color w:val="000000"/>
          <w:sz w:val="20"/>
        </w:rPr>
        <w:t xml:space="preserve">Units. </w:t>
      </w:r>
      <w:r>
        <w:rPr>
          <w:rFonts w:ascii="Times New Roman;serif" w:hAnsi="Times New Roman;serif"/>
          <w:b w:val="false"/>
          <w:color w:val="000000"/>
          <w:sz w:val="20"/>
        </w:rPr>
        <w:t>On March 5, 2026, we granted 132,804 phantom share units under the Civeo Plan, which vest in three equal annual installments beginning on March 5, 2027. We also granted 44,187 phantom share units under the Canadian Long-Term Incentive Plan, which vest in three equal annual installments beginning on March 5, 2027. Phantom share units are settled in cash upon vesting.</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we recognized compensation expense associated with phantom share units totaling $2.2 million and $1.5 million, respectively. During the six months ended June 30, 2026 and 2025, we recognized compensation expense associated with phantom share units totaling $4.6 million and $3.3 million, respectively. At June 30, 2026, unrecognized compensation cost related to phantom share units was $11.9 million, as remeasured at June 30, 2026, which is expected to be recognized over a weighted average period of 2.0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ind w:left="0" w:right="0" w:firstLine="315"/>
        <w:jc w:val="center"/>
        <w:rPr>
          <w:rFonts w:ascii="Times New Roman;serif" w:hAnsi="Times New Roman;serif"/>
          <w:b/>
          <w:color w:val="000000"/>
          <w:sz w:val="20"/>
        </w:rPr>
      </w:pPr>
      <w:r>
        <w:rPr>
          <w:rFonts w:ascii="Times New Roman;serif" w:hAnsi="Times New Roman;serif"/>
          <w:b/>
          <w:color w:val="000000"/>
          <w:sz w:val="20"/>
        </w:rPr>
        <w:t>CIVEO CORPORATION</w:t>
      </w:r>
    </w:p>
    <w:p>
      <w:pPr>
        <w:pStyle w:val="TextBody"/>
        <w:bidi w:val="0"/>
        <w:spacing w:lineRule="auto" w:line="288" w:before="120" w:after="283"/>
        <w:ind w:left="0" w:right="0" w:firstLine="180"/>
        <w:jc w:val="center"/>
        <w:rPr>
          <w:rFonts w:ascii="Times New Roman;serif" w:hAnsi="Times New Roman;serif"/>
          <w:b/>
          <w:color w:val="000000"/>
          <w:sz w:val="20"/>
        </w:rPr>
      </w:pPr>
      <w:r>
        <w:rPr>
          <w:rFonts w:ascii="Times New Roman;serif" w:hAnsi="Times New Roman;serif"/>
          <w:b/>
          <w:color w:val="000000"/>
          <w:sz w:val="20"/>
        </w:rPr>
        <w:t>NOTES TO UNAUDITED CONSOLIDATED</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FINANCIAL STATEMENTS</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before="0" w:after="0"/>
        <w:jc w:val="left"/>
        <w:rPr/>
      </w:pPr>
      <w:r>
        <w:rPr/>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pPr>
      <w:r>
        <w:rPr>
          <w:rFonts w:ascii="Times New Roman;serif" w:hAnsi="Times New Roman;serif"/>
          <w:b/>
          <w:i/>
          <w:color w:val="000000"/>
          <w:sz w:val="20"/>
        </w:rPr>
        <w:t>Performance Share Awards.</w:t>
      </w:r>
      <w:r>
        <w:rPr>
          <w:color w:val="000000"/>
        </w:rPr>
        <w:t xml:space="preserve"> </w:t>
      </w:r>
      <w:r>
        <w:rPr>
          <w:rFonts w:ascii="Times New Roman;serif" w:hAnsi="Times New Roman;serif"/>
          <w:b w:val="false"/>
          <w:color w:val="000000"/>
          <w:sz w:val="20"/>
        </w:rPr>
        <w:t xml:space="preserve">On March 5, 2026, we granted 144,433 performance share awards under the Civeo Plan, which cliff vest after three years subject to attainment of applicable performance goals. These awards will be earned in amounts between 0% and 200% of the participant’s target performance share award, based on the payout percentage associated with Civeo’s relative total shareholder return rank among a peer group of other companies and the payout percentage associated with Civeo's three-year growth in EBITDA over the performance period relative to a preset 2028 EBITDA target. The portion of the performance share awards tied to the 2028 EBITDA target includes a performance-based vesting requirement. We evaluate the probability of achieving the performance goals throughout the performance period and will adjust share-based compensation expense based on the number of shares expected to vest based on our estimate of the most probable performance outcome. No share-based compensation expense is recognized if the performance criteria are not probable of being achieved.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we recognized compensation expense associated with performance share awards totaling $0.3 million and $0.3 million, respectively. During the six months ended June 30, 2026 and 2025, we recognized compensation expense associated with performance share awards totaling $0.2 million and $0.7 million, respectively. No performance share awards vested during the three months ended June 30, 2026 and 2025. The total fair value of performance share awards that vested during the six months ended June 30, 2026 and 2025 was $0.9 million and $1.7 million, respectively. At June 30, 2026, unrecognized compensation cost related to performance share awards was $2.3 million, which is expected to be recognized over a weighted average period of 2.2 years.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i/>
          <w:color w:val="000000"/>
          <w:sz w:val="20"/>
        </w:rPr>
        <w:t>Restricted Share Awards / Deferred Share</w:t>
      </w:r>
      <w:r>
        <w:rPr>
          <w:color w:val="000000"/>
        </w:rPr>
        <w:t xml:space="preserve"> </w:t>
      </w:r>
      <w:r>
        <w:rPr>
          <w:rFonts w:ascii="Times New Roman;serif" w:hAnsi="Times New Roman;serif"/>
          <w:b/>
          <w:i/>
          <w:color w:val="000000"/>
          <w:sz w:val="20"/>
        </w:rPr>
        <w:t xml:space="preserve">Awards. </w:t>
      </w:r>
      <w:r>
        <w:rPr>
          <w:rFonts w:ascii="Times New Roman;serif" w:hAnsi="Times New Roman;serif"/>
          <w:b w:val="false"/>
          <w:color w:val="000000"/>
          <w:sz w:val="20"/>
        </w:rPr>
        <w:t>On May 27, 2026, we granted 30,224 restricted share and deferred share awards to our non-employee directors, which vest in their entirety in May 2027.</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Compensation expense associated with restricted share awards and deferred share awards recognized in the three months ended June 30, 2026 and 2025 totaled $0.3 million and $0.3 million, respectively. Compensation expense associated with restricted share awards and deferred share awards recognized in the six months ended June 30, 2026 and 2025 totaled $0.7 million and $0.5 million, respectively. The total fair value of restricted share awards and deferred share awards that vested during the three months ended June 30, 2026 and 2025 was $2.2 million and $0.9 million, respectively. The total fair value of restricted share awards and deferred share awards that vested during the six months ended June 30, 2026 and 2025 was $2.2 million and $0.9 million, respectively.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June 30, 2026, unrecognized compensation cost related to restricted share awards and deferred share awards was $0.9 million, which is expected to be recognized over a weighted average period of 0.9 years.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ind w:left="0" w:right="0" w:firstLine="315"/>
        <w:jc w:val="center"/>
        <w:rPr>
          <w:rFonts w:ascii="Times New Roman;serif" w:hAnsi="Times New Roman;serif"/>
          <w:b/>
          <w:color w:val="000000"/>
          <w:sz w:val="20"/>
        </w:rPr>
      </w:pPr>
      <w:r>
        <w:rPr>
          <w:rFonts w:ascii="Times New Roman;serif" w:hAnsi="Times New Roman;serif"/>
          <w:b/>
          <w:color w:val="000000"/>
          <w:sz w:val="20"/>
        </w:rPr>
        <w:t>CIVEO CORPORATION</w:t>
      </w:r>
    </w:p>
    <w:p>
      <w:pPr>
        <w:pStyle w:val="TextBody"/>
        <w:bidi w:val="0"/>
        <w:spacing w:lineRule="auto" w:line="288" w:before="120" w:after="283"/>
        <w:ind w:left="0" w:right="0" w:firstLine="180"/>
        <w:jc w:val="center"/>
        <w:rPr>
          <w:rFonts w:ascii="Times New Roman;serif" w:hAnsi="Times New Roman;serif"/>
          <w:b/>
          <w:color w:val="000000"/>
          <w:sz w:val="20"/>
        </w:rPr>
      </w:pPr>
      <w:r>
        <w:rPr>
          <w:rFonts w:ascii="Times New Roman;serif" w:hAnsi="Times New Roman;serif"/>
          <w:b/>
          <w:color w:val="000000"/>
          <w:sz w:val="20"/>
        </w:rPr>
        <w:t>NOTES TO UNAUDITED CONSOLIDATED</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FINANCIAL STATEMENTS</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13.SEGMENT AND RELATED INFORMATION</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report segment information based on the “management” approach. The management approach designates the internal reporting used by management for making decisions and assessing performance as the source of our reportable segments. Our Chief Executive Officer is the chief operation decision maker (CODM). We have identified two reportable segments, Australia and Canada, which represent our strategic focus on hospitality services and workforce accommodations.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Prior to the fourth quarter of 2025, Corporate, other and eliminations selling, general and administrative expenses includes corporate information technology (IT) expenses managed on a worldwide basis that were not allocated to individual segments in Australia and Canada. To better align segment operating income (loss) to the profitability measure used by our CODM, these shared general and administrative costs are now allocated to Australia and Canada beginning with the year ended December 31, 2025. For the three and six months ended June 30, 2025, we allocated corporate IT expenses to Australia and Canada of $2.0 million and $4.0 million to conform with the presentation for the three and six months ended June 30, 2026.</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Financial information by business segment for each of the three and six months ended June 30, 2026 and 2025 is summarized in the following table (in thousands):</w:t>
      </w:r>
    </w:p>
    <w:p>
      <w:pPr>
        <w:pStyle w:val="TextBody"/>
        <w:bidi w:val="0"/>
        <w:spacing w:lineRule="auto" w:line="288" w:before="0" w:after="0"/>
        <w:ind w:left="0" w:right="0" w:firstLine="180"/>
        <w:jc w:val="left"/>
        <w:rPr>
          <w:color w:val="000000"/>
        </w:rPr>
      </w:pP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336"/>
        <w:gridCol w:w="1006"/>
        <w:gridCol w:w="1010"/>
        <w:gridCol w:w="211"/>
        <w:gridCol w:w="826"/>
        <w:gridCol w:w="109"/>
        <w:gridCol w:w="109"/>
        <w:gridCol w:w="109"/>
        <w:gridCol w:w="109"/>
        <w:gridCol w:w="211"/>
        <w:gridCol w:w="826"/>
        <w:gridCol w:w="109"/>
        <w:gridCol w:w="109"/>
        <w:gridCol w:w="109"/>
        <w:gridCol w:w="109"/>
        <w:gridCol w:w="483"/>
        <w:gridCol w:w="1652"/>
        <w:gridCol w:w="251"/>
        <w:gridCol w:w="109"/>
        <w:gridCol w:w="109"/>
        <w:gridCol w:w="109"/>
        <w:gridCol w:w="211"/>
        <w:gridCol w:w="826"/>
        <w:gridCol w:w="157"/>
      </w:tblGrid>
      <w:tr>
        <w:trPr/>
        <w:tc>
          <w:tcPr>
            <w:tcW w:w="133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 other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180,017 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and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less cost of sales and services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41,406 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operating expense (income)</w:t>
            </w:r>
            <w:r>
              <w:rPr>
                <w:color w:val="000000"/>
              </w:rPr>
              <w:t xml:space="preserve">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(6,867)</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to income (loss)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loss</w:t>
            </w:r>
            <w:r>
              <w:rPr>
                <w:color w:val="000000"/>
              </w:rPr>
              <w:t xml:space="preserve"> </w:t>
            </w:r>
            <w:r>
              <w:rPr>
                <w:rFonts w:ascii="Times New Roman;serif" w:hAnsi="Times New Roman;serif"/>
                <w:b w:val="false"/>
                <w:color w:val="000000"/>
                <w:sz w:val="13"/>
              </w:rPr>
              <w:t>(2)</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487,855 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ind w:left="0" w:right="0" w:firstLine="315"/>
        <w:jc w:val="center"/>
        <w:rPr>
          <w:rFonts w:ascii="Times New Roman;serif" w:hAnsi="Times New Roman;serif"/>
          <w:b/>
          <w:color w:val="000000"/>
          <w:sz w:val="20"/>
        </w:rPr>
      </w:pPr>
      <w:r>
        <w:rPr>
          <w:rFonts w:ascii="Times New Roman;serif" w:hAnsi="Times New Roman;serif"/>
          <w:b/>
          <w:color w:val="000000"/>
          <w:sz w:val="20"/>
        </w:rPr>
        <w:t>CIVEO CORPORATION</w:t>
      </w:r>
    </w:p>
    <w:p>
      <w:pPr>
        <w:pStyle w:val="TextBody"/>
        <w:bidi w:val="0"/>
        <w:spacing w:lineRule="auto" w:line="288" w:before="120" w:after="283"/>
        <w:ind w:left="0" w:right="0" w:firstLine="180"/>
        <w:jc w:val="center"/>
        <w:rPr>
          <w:rFonts w:ascii="Times New Roman;serif" w:hAnsi="Times New Roman;serif"/>
          <w:b/>
          <w:color w:val="000000"/>
          <w:sz w:val="20"/>
        </w:rPr>
      </w:pPr>
      <w:r>
        <w:rPr>
          <w:rFonts w:ascii="Times New Roman;serif" w:hAnsi="Times New Roman;serif"/>
          <w:b/>
          <w:color w:val="000000"/>
          <w:sz w:val="20"/>
        </w:rPr>
        <w:t>NOTES TO UNAUDITED CONSOLIDATED</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FINANCIAL STATEMENTS</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23"/>
        <w:gridCol w:w="826"/>
        <w:gridCol w:w="829"/>
        <w:gridCol w:w="211"/>
        <w:gridCol w:w="826"/>
        <w:gridCol w:w="109"/>
        <w:gridCol w:w="109"/>
        <w:gridCol w:w="109"/>
        <w:gridCol w:w="109"/>
        <w:gridCol w:w="211"/>
        <w:gridCol w:w="826"/>
        <w:gridCol w:w="109"/>
        <w:gridCol w:w="109"/>
        <w:gridCol w:w="109"/>
        <w:gridCol w:w="109"/>
        <w:gridCol w:w="367"/>
        <w:gridCol w:w="1541"/>
        <w:gridCol w:w="189"/>
        <w:gridCol w:w="109"/>
        <w:gridCol w:w="109"/>
        <w:gridCol w:w="109"/>
        <w:gridCol w:w="211"/>
        <w:gridCol w:w="826"/>
        <w:gridCol w:w="109"/>
        <w:gridCol w:w="109"/>
        <w:gridCol w:w="109"/>
        <w:gridCol w:w="109"/>
        <w:gridCol w:w="109"/>
        <w:gridCol w:w="109"/>
        <w:gridCol w:w="109"/>
        <w:gridCol w:w="157"/>
      </w:tblGrid>
      <w:tr>
        <w:trPr/>
        <w:tc>
          <w:tcPr>
            <w:tcW w:w="122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 other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and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less cost of sales and services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operating expense (income)</w:t>
            </w:r>
            <w:r>
              <w:rPr>
                <w:color w:val="000000"/>
              </w:rPr>
              <w:t xml:space="preserve">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to income (loss)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loss</w:t>
            </w:r>
            <w:r>
              <w:rPr>
                <w:color w:val="000000"/>
              </w:rPr>
              <w:t xml:space="preserve"> </w:t>
            </w:r>
            <w:r>
              <w:rPr>
                <w:rFonts w:ascii="Times New Roman;serif" w:hAnsi="Times New Roman;serif"/>
                <w:b w:val="false"/>
                <w:color w:val="000000"/>
                <w:sz w:val="13"/>
              </w:rPr>
              <w:t>(2)</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(449,048)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540"/>
        <w:jc w:val="both"/>
        <w:rPr>
          <w:color w:val="000000"/>
        </w:rPr>
      </w:pP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337"/>
        <w:gridCol w:w="1006"/>
        <w:gridCol w:w="1010"/>
        <w:gridCol w:w="211"/>
        <w:gridCol w:w="826"/>
        <w:gridCol w:w="109"/>
        <w:gridCol w:w="109"/>
        <w:gridCol w:w="109"/>
        <w:gridCol w:w="109"/>
        <w:gridCol w:w="211"/>
        <w:gridCol w:w="826"/>
        <w:gridCol w:w="109"/>
        <w:gridCol w:w="109"/>
        <w:gridCol w:w="109"/>
        <w:gridCol w:w="109"/>
        <w:gridCol w:w="482"/>
        <w:gridCol w:w="1651"/>
        <w:gridCol w:w="251"/>
        <w:gridCol w:w="109"/>
        <w:gridCol w:w="109"/>
        <w:gridCol w:w="109"/>
        <w:gridCol w:w="211"/>
        <w:gridCol w:w="826"/>
        <w:gridCol w:w="158"/>
      </w:tblGrid>
      <w:tr>
        <w:trPr/>
        <w:tc>
          <w:tcPr>
            <w:tcW w:w="133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 other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352,684 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and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less cost of sales and services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81,567 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operating expense (income)</w:t>
            </w:r>
            <w:r>
              <w:rPr>
                <w:color w:val="000000"/>
              </w:rPr>
              <w:t xml:space="preserve">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(12,043)</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8,215 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to income (loss)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loss</w:t>
            </w:r>
            <w:r>
              <w:rPr>
                <w:color w:val="000000"/>
              </w:rPr>
              <w:t xml:space="preserve"> </w:t>
            </w:r>
            <w:r>
              <w:rPr>
                <w:rFonts w:ascii="Times New Roman;serif" w:hAnsi="Times New Roman;serif"/>
                <w:b w:val="false"/>
                <w:color w:val="000000"/>
                <w:sz w:val="13"/>
              </w:rPr>
              <w:t>(2)</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487,855 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ind w:left="0" w:right="0" w:firstLine="315"/>
        <w:jc w:val="center"/>
        <w:rPr>
          <w:rFonts w:ascii="Times New Roman;serif" w:hAnsi="Times New Roman;serif"/>
          <w:b/>
          <w:color w:val="000000"/>
          <w:sz w:val="20"/>
        </w:rPr>
      </w:pPr>
      <w:r>
        <w:rPr>
          <w:rFonts w:ascii="Times New Roman;serif" w:hAnsi="Times New Roman;serif"/>
          <w:b/>
          <w:color w:val="000000"/>
          <w:sz w:val="20"/>
        </w:rPr>
        <w:t>CIVEO CORPORATION</w:t>
      </w:r>
    </w:p>
    <w:p>
      <w:pPr>
        <w:pStyle w:val="TextBody"/>
        <w:bidi w:val="0"/>
        <w:spacing w:lineRule="auto" w:line="288" w:before="120" w:after="283"/>
        <w:ind w:left="0" w:right="0" w:firstLine="180"/>
        <w:jc w:val="center"/>
        <w:rPr>
          <w:rFonts w:ascii="Times New Roman;serif" w:hAnsi="Times New Roman;serif"/>
          <w:b/>
          <w:color w:val="000000"/>
          <w:sz w:val="20"/>
        </w:rPr>
      </w:pPr>
      <w:r>
        <w:rPr>
          <w:rFonts w:ascii="Times New Roman;serif" w:hAnsi="Times New Roman;serif"/>
          <w:b/>
          <w:color w:val="000000"/>
          <w:sz w:val="20"/>
        </w:rPr>
        <w:t>NOTES TO UNAUDITED CONSOLIDATED</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FINANCIAL STATEMENTS</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24"/>
        <w:gridCol w:w="825"/>
        <w:gridCol w:w="828"/>
        <w:gridCol w:w="211"/>
        <w:gridCol w:w="826"/>
        <w:gridCol w:w="109"/>
        <w:gridCol w:w="109"/>
        <w:gridCol w:w="109"/>
        <w:gridCol w:w="109"/>
        <w:gridCol w:w="211"/>
        <w:gridCol w:w="826"/>
        <w:gridCol w:w="109"/>
        <w:gridCol w:w="109"/>
        <w:gridCol w:w="109"/>
        <w:gridCol w:w="109"/>
        <w:gridCol w:w="367"/>
        <w:gridCol w:w="1541"/>
        <w:gridCol w:w="189"/>
        <w:gridCol w:w="109"/>
        <w:gridCol w:w="109"/>
        <w:gridCol w:w="109"/>
        <w:gridCol w:w="211"/>
        <w:gridCol w:w="826"/>
        <w:gridCol w:w="109"/>
        <w:gridCol w:w="109"/>
        <w:gridCol w:w="109"/>
        <w:gridCol w:w="109"/>
        <w:gridCol w:w="109"/>
        <w:gridCol w:w="109"/>
        <w:gridCol w:w="109"/>
        <w:gridCol w:w="158"/>
      </w:tblGrid>
      <w:tr>
        <w:trPr/>
        <w:tc>
          <w:tcPr>
            <w:tcW w:w="1224"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 other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and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less cost of sales and services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operating expense (income)</w:t>
            </w:r>
            <w:r>
              <w:rPr>
                <w:color w:val="000000"/>
              </w:rPr>
              <w:t xml:space="preserve">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to income (loss)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loss</w:t>
            </w:r>
            <w:r>
              <w:rPr>
                <w:color w:val="000000"/>
              </w:rPr>
              <w:t xml:space="preserve"> </w:t>
            </w:r>
            <w:r>
              <w:rPr>
                <w:rFonts w:ascii="Times New Roman;serif" w:hAnsi="Times New Roman;serif"/>
                <w:b w:val="false"/>
                <w:color w:val="000000"/>
                <w:sz w:val="13"/>
              </w:rPr>
              <w:t>(2)</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(449,048)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Other operating expense (income) for each reportable segment primarily includes other operating income and expenses for the three and six months ended June 30, 2026 and 2025. </w:t>
      </w:r>
    </w:p>
    <w:p>
      <w:pPr>
        <w:pStyle w:val="TextBody"/>
        <w:bidi w:val="0"/>
        <w:spacing w:lineRule="auto" w:line="288" w:before="0" w:after="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Other loss is primarily related to interest expense, interest income and other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14.SUBSEQUENT EVENT</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7, 2026, we issued $100.0 million in aggregate principal amount of 4.50% Convertible Senior Notes due 2031 (the Firm Notes) in a private unregistered offering. On July 14, 2026 we issued an additional $15.0 million in aggregate principal amount of 4.50% Convertible Senior Notes due 2031 (together with the Firm Notes, the Convertible Notes) pursuant to the exercise in full by the initial purchasers of their option to purchase additional notes. The Convertible Notes bear interest at a rate of 4.50% per annum, payable semi-annually in arrears on February 1 and August 1 of each year, beginning on February 1, 2027. The Convertible Notes will mature on August 1, 2031, unless earlier repurchased or redeemed by us or converted pursuant to their terms. In connection with the issuance of the Convertible Notes, we entered into an indenture (the Indenture) with U.S. Bank Trust Company, National Association, as trustee. We received approximately $110.8 million in net proceeds, of which approximately $22.3 million was used to repurchase 660,297 of our common shares. We used the remainder of the net proceeds from the offering to repay outstanding borrowings under our Amended Credit Agreement.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may not redeem the Convertible Notes prior to August 1, 2029, except in the event of a tax redemption or a cleanup redemption as described below. The Convertible Notes will be redeemable, in whole or in part (subject to certain limitations described below), at our option at any time, and from time to time, on or after August 1, 2029 and on or before the 60th scheduled trading day immediately before the maturity date, at a cash redemption price equal to the principal amount of the Convertible Notes to be redeemed, plus accrued and unpaid interest, if any, to, but excluding, the redemption date, but only if (i) the Convertible Notes are freely tradable as of the date we send the related redemption notice and all accrued and unpaid additional interest, if any, has been paid in full as of the first interest payment date occurring on or before the date we send such notice; and (ii) the last reported sale price per common share exceeds 130% of the conversion price on (1) each of at least 20 trading days, whether or not consecutive, during the 30 consecutive trading days ending on, and including, the trading day immediately before the date we send such redemption notice; and (2) the trading day immediately before the date we send such notice (an Optional Redemption). However, we may not redeem less than all of the outstanding Convertible Notes unless at least $50.0 million aggregate principal amount of Convertible Notes are outstanding and not called for redemption as of the time we send the related redemption notice. In addition, the Convertible Notes will be redeemable, in whole and not in part, at our option if (i) certain changes in tax law occur (a Tax Redemption); or (ii) the principal amount of the Convertible Notes outstanding is less than 10% of the aggregate principal amount of Convertible Notes initially issued (a Cleanup Redemption), in each case, subject to certain conditions. The redemption price for any Optional Redemption, Tax Redemption or Cleanup Redemption will be 100% of the principal amount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ind w:left="0" w:right="0" w:firstLine="315"/>
        <w:jc w:val="center"/>
        <w:rPr>
          <w:rFonts w:ascii="Times New Roman;serif" w:hAnsi="Times New Roman;serif"/>
          <w:b/>
          <w:color w:val="000000"/>
          <w:sz w:val="20"/>
        </w:rPr>
      </w:pPr>
      <w:r>
        <w:rPr>
          <w:rFonts w:ascii="Times New Roman;serif" w:hAnsi="Times New Roman;serif"/>
          <w:b/>
          <w:color w:val="000000"/>
          <w:sz w:val="20"/>
        </w:rPr>
        <w:t>CIVEO CORPORATION</w:t>
      </w:r>
    </w:p>
    <w:p>
      <w:pPr>
        <w:pStyle w:val="TextBody"/>
        <w:bidi w:val="0"/>
        <w:spacing w:lineRule="auto" w:line="288" w:before="120" w:after="283"/>
        <w:ind w:left="0" w:right="0" w:firstLine="180"/>
        <w:jc w:val="center"/>
        <w:rPr>
          <w:rFonts w:ascii="Times New Roman;serif" w:hAnsi="Times New Roman;serif"/>
          <w:b/>
          <w:color w:val="000000"/>
          <w:sz w:val="20"/>
        </w:rPr>
      </w:pPr>
      <w:r>
        <w:rPr>
          <w:rFonts w:ascii="Times New Roman;serif" w:hAnsi="Times New Roman;serif"/>
          <w:b/>
          <w:color w:val="000000"/>
          <w:sz w:val="20"/>
        </w:rPr>
        <w:t>NOTES TO UNAUDITED CONSOLIDATED</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FINANCIAL STATEMENTS</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Convertible Notes to be redeemed, plus accrued and unpaid interest, if any, to, but excluding, the relevant redemption date. No sinking fund is provided for the Convertible Notes.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Prior to the close of business on the business day immediately preceding May 1, 2031, holders of the Convertible Notes may convert their Convertible Notes at their option only in the following circumstances: (i) during any calendar quarter commencing after the calendar quarter ending on September 30, 2026, if the last reported sale price per common share exceeds 130% of the conversion price for each of at least 20 trading days during the 30 consecutive trading days ending on, and including, the last trading day of the immediately preceding calendar quarter; (ii) during the five consecutive business days immediately after any 10 consecutive trading day period (the measurement period) in which the trading price (as defined in the Indenture) per $1,000 principal amount of the Convertible Notes for each trading day of the measurement period was less than 98% of the product of the last reported sale price per common share on such trading day and the conversion rate on such trading day; (iii) upon the occurrence of certain corporate events or distributions on our common shares; or (iv) if we call the Convertible Notes for redemption. On or after May 1, 2031, until the close of business on the second scheduled trading day immediately before the maturity date, holders of the Convertible Notes may convert their Convertible Notes at any time, regardless of the foregoing circumstances.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Upon conversion, we will pay or deliver, as applicable, cash, common shares or a combination of cash and common shares, at our election, based on the applicable conversion rate(s). If we elect to deliver cash or a combination of cash and common shares, then the consideration due upon conversion will be determined over an observation period consisting of 60 “VWAP Trading Days” (as defined in the Indenture). The initial conversion rate is 24.6840 common shares per $1,000 principal amount of Convertible Notes, which represents an initial conversion price of approximately $40.51 per common share. The conversion rate is subject to adjustment upon the occurrence of certain specified events as set forth in the Indenture. In addition, following certain corporate events that occur prior to the maturity date or if we deliver a notice of redemption, we will increase, in certain circumstances, the conversion rate for a holder who elects to convert its Convertible Notes in connection with such corporate event or notice of redemption. The maximum number of common shares issuable in connection with the conversion of the Convertible Notes is 3,406,392, based on the initial maximum conversion rate of 29.6208 common shares per $1,000 principal amount of Convertible Notes, which amount is subject to adjustment in the same manner as, and at the same time and for the same events for which, the conversion rate is required to be adjusted.</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Upon the occurrence of a fundamental change (as defined in the Indenture), subject to certain conditions, holders of the Convertible Notes may require us to repurchase all or a portion of the Convertible Notes for cash at a price equal to 100% of the principal amount of the Convertible Notes to be repurchased, plus accrued and unpaid interest, if any, to, but excluding, the repurchase date.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Indenture contains customary events of default, including for certain delisting events with respect to the common shares. In the event of certain events of bankruptcy, insolvency or reorganization involving us or any of our significant subsidiaries or certain delisting events with respect to the common shares that we fail to cure in accordance with the Indenture, 100% of the principal amount of the Convertible Notes plus accrued and unpaid interest, if any, may be declared immediately due and payable, subject to certain conditions in the Indenture. In the case of any other event of default, the trustee or the holders of at least 25% in aggregate principal amount of the then-outstanding Convertible Notes may declare the Convertible Notes to be due and payable immediately.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160" w:after="160"/>
        <w:jc w:val="both"/>
        <w:rPr/>
      </w:pPr>
      <w:r>
        <w:rPr/>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0" w:after="0"/>
        <w:ind w:left="0" w:right="0" w:firstLine="630"/>
        <w:jc w:val="center"/>
        <w:rPr>
          <w:color w:val="000000"/>
        </w:rPr>
      </w:pPr>
      <w:r>
        <w:rPr>
          <w:color w:val="000000"/>
        </w:rPr>
        <w:t> </w:t>
      </w:r>
    </w:p>
    <w:p>
      <w:pPr>
        <w:pStyle w:val="TextBody"/>
        <w:bidi w:val="0"/>
        <w:spacing w:lineRule="auto" w:line="288" w:before="0" w:after="0"/>
        <w:jc w:val="both"/>
        <w:rPr/>
      </w:pPr>
      <w:r>
        <w:rPr>
          <w:rFonts w:ascii="Times New Roman;serif" w:hAnsi="Times New Roman;serif"/>
          <w:b w:val="false"/>
          <w:i/>
          <w:color w:val="000000"/>
          <w:sz w:val="20"/>
        </w:rPr>
        <w:t>This Quarterly Report on Form 10-Q contains certain “forward-looking statements”</w:t>
      </w:r>
      <w:r>
        <w:rPr>
          <w:color w:val="000000"/>
        </w:rPr>
        <w:t xml:space="preserve"> </w:t>
      </w:r>
      <w:r>
        <w:rPr>
          <w:rFonts w:ascii="Times New Roman;serif" w:hAnsi="Times New Roman;serif"/>
          <w:b w:val="false"/>
          <w:i/>
          <w:color w:val="000000"/>
          <w:sz w:val="20"/>
        </w:rPr>
        <w:t>within the meaning of Section 27A of the Securities Act of 1933 and Section 21E of the Securities Exchange Act of 1934 (the Exchange Act).</w:t>
      </w:r>
      <w:r>
        <w:rPr>
          <w:color w:val="000000"/>
        </w:rPr>
        <w:t xml:space="preserve"> </w:t>
      </w:r>
      <w:r>
        <w:rPr>
          <w:rFonts w:ascii="Times New Roman;serif" w:hAnsi="Times New Roman;serif"/>
          <w:b w:val="false"/>
          <w:i/>
          <w:color w:val="000000"/>
          <w:sz w:val="20"/>
        </w:rPr>
        <w:t>The</w:t>
      </w:r>
      <w:r>
        <w:rPr>
          <w:color w:val="000000"/>
        </w:rPr>
        <w:t xml:space="preserve"> </w:t>
      </w:r>
      <w:r>
        <w:rPr>
          <w:rFonts w:ascii="Times New Roman;serif" w:hAnsi="Times New Roman;serif"/>
          <w:b w:val="false"/>
          <w:i/>
          <w:color w:val="000000"/>
          <w:sz w:val="20"/>
        </w:rPr>
        <w:t>Private</w:t>
      </w:r>
      <w:r>
        <w:rPr>
          <w:color w:val="000000"/>
        </w:rPr>
        <w:t xml:space="preserve"> </w:t>
      </w:r>
      <w:r>
        <w:rPr>
          <w:rFonts w:ascii="Times New Roman;serif" w:hAnsi="Times New Roman;serif"/>
          <w:b w:val="false"/>
          <w:i/>
          <w:color w:val="000000"/>
          <w:sz w:val="20"/>
        </w:rPr>
        <w:t>Securities</w:t>
      </w:r>
      <w:r>
        <w:rPr>
          <w:color w:val="000000"/>
        </w:rPr>
        <w:t xml:space="preserve"> </w:t>
      </w:r>
      <w:r>
        <w:rPr>
          <w:rFonts w:ascii="Times New Roman;serif" w:hAnsi="Times New Roman;serif"/>
          <w:b w:val="false"/>
          <w:i/>
          <w:color w:val="000000"/>
          <w:sz w:val="20"/>
        </w:rPr>
        <w:t>Litigation</w:t>
      </w:r>
      <w:r>
        <w:rPr>
          <w:color w:val="000000"/>
        </w:rPr>
        <w:t xml:space="preserve"> </w:t>
      </w:r>
      <w:r>
        <w:rPr>
          <w:rFonts w:ascii="Times New Roman;serif" w:hAnsi="Times New Roman;serif"/>
          <w:b w:val="false"/>
          <w:i/>
          <w:color w:val="000000"/>
          <w:sz w:val="20"/>
        </w:rPr>
        <w:t>Reform</w:t>
      </w:r>
      <w:r>
        <w:rPr>
          <w:color w:val="000000"/>
        </w:rPr>
        <w:t xml:space="preserve"> </w:t>
      </w:r>
      <w:r>
        <w:rPr>
          <w:rFonts w:ascii="Times New Roman;serif" w:hAnsi="Times New Roman;serif"/>
          <w:b w:val="false"/>
          <w:i/>
          <w:color w:val="000000"/>
          <w:sz w:val="20"/>
        </w:rPr>
        <w:t>Act</w:t>
      </w:r>
      <w:r>
        <w:rPr>
          <w:color w:val="000000"/>
        </w:rPr>
        <w:t xml:space="preserve"> </w:t>
      </w:r>
      <w:r>
        <w:rPr>
          <w:rFonts w:ascii="Times New Roman;serif" w:hAnsi="Times New Roman;serif"/>
          <w:b w:val="false"/>
          <w:i/>
          <w:color w:val="000000"/>
          <w:sz w:val="20"/>
        </w:rPr>
        <w:t>of 1995 provides safe harbor provisions for forward-looking information. The forward-looking statements can be identified by the use of forward-looking terminology including</w:t>
      </w:r>
      <w:r>
        <w:rPr>
          <w:color w:val="000000"/>
        </w:rPr>
        <w:t xml:space="preserve"> “</w:t>
      </w:r>
      <w:r>
        <w:rPr>
          <w:rFonts w:ascii="Times New Roman;serif" w:hAnsi="Times New Roman;serif"/>
          <w:b w:val="false"/>
          <w:i/>
          <w:color w:val="000000"/>
          <w:sz w:val="20"/>
        </w:rPr>
        <w:t>may,”</w:t>
      </w:r>
      <w:r>
        <w:rPr>
          <w:color w:val="000000"/>
        </w:rPr>
        <w:t xml:space="preserve"> “</w:t>
      </w:r>
      <w:r>
        <w:rPr>
          <w:rFonts w:ascii="Times New Roman;serif" w:hAnsi="Times New Roman;serif"/>
          <w:b w:val="false"/>
          <w:i/>
          <w:color w:val="000000"/>
          <w:sz w:val="20"/>
        </w:rPr>
        <w:t>expect,”</w:t>
      </w:r>
      <w:r>
        <w:rPr>
          <w:color w:val="000000"/>
        </w:rPr>
        <w:t xml:space="preserve"> “</w:t>
      </w:r>
      <w:r>
        <w:rPr>
          <w:rFonts w:ascii="Times New Roman;serif" w:hAnsi="Times New Roman;serif"/>
          <w:b w:val="false"/>
          <w:i/>
          <w:color w:val="000000"/>
          <w:sz w:val="20"/>
        </w:rPr>
        <w:t>anticipate,”</w:t>
      </w:r>
      <w:r>
        <w:rPr>
          <w:color w:val="000000"/>
        </w:rPr>
        <w:t xml:space="preserve"> “</w:t>
      </w:r>
      <w:r>
        <w:rPr>
          <w:rFonts w:ascii="Times New Roman;serif" w:hAnsi="Times New Roman;serif"/>
          <w:b w:val="false"/>
          <w:i/>
          <w:color w:val="000000"/>
          <w:sz w:val="20"/>
        </w:rPr>
        <w:t>estimate,”</w:t>
      </w:r>
      <w:r>
        <w:rPr>
          <w:color w:val="000000"/>
        </w:rPr>
        <w:t xml:space="preserve"> “</w:t>
      </w:r>
      <w:r>
        <w:rPr>
          <w:rFonts w:ascii="Times New Roman;serif" w:hAnsi="Times New Roman;serif"/>
          <w:b w:val="false"/>
          <w:i/>
          <w:color w:val="000000"/>
          <w:sz w:val="20"/>
        </w:rPr>
        <w:t>continue,”</w:t>
      </w:r>
      <w:r>
        <w:rPr>
          <w:color w:val="000000"/>
        </w:rPr>
        <w:t xml:space="preserve"> “</w:t>
      </w:r>
      <w:r>
        <w:rPr>
          <w:rFonts w:ascii="Times New Roman;serif" w:hAnsi="Times New Roman;serif"/>
          <w:b w:val="false"/>
          <w:i/>
          <w:color w:val="000000"/>
          <w:sz w:val="20"/>
        </w:rPr>
        <w:t>believe”</w:t>
      </w:r>
      <w:r>
        <w:rPr>
          <w:color w:val="000000"/>
        </w:rPr>
        <w:t xml:space="preserve"> </w:t>
      </w:r>
      <w:r>
        <w:rPr>
          <w:rFonts w:ascii="Times New Roman;serif" w:hAnsi="Times New Roman;serif"/>
          <w:b w:val="false"/>
          <w:i/>
          <w:color w:val="000000"/>
          <w:sz w:val="20"/>
        </w:rPr>
        <w:t>or other similar words.</w:t>
      </w:r>
      <w:r>
        <w:rPr>
          <w:color w:val="000000"/>
        </w:rPr>
        <w:t xml:space="preserve"> </w:t>
      </w:r>
      <w:r>
        <w:rPr>
          <w:rFonts w:ascii="Times New Roman;serif" w:hAnsi="Times New Roman;serif"/>
          <w:b w:val="false"/>
          <w:i/>
          <w:color w:val="000000"/>
          <w:sz w:val="20"/>
        </w:rPr>
        <w:t>The forward-looking statements in this report include, but are not limited to, the statements in “Management’s Discussion and Analysis of Financial Condition and Results of Operations” relating to our expectations about the macroeconomic environment and industry conditions, including the volatility in the price of and demand for commodities, as well as our expectations about capital expenditures in 2026, beliefs with respect to liquidity needs and expectations with respect to growth strategies and opportunities, cost reductions, share repurchases and benefits of the Qantac Acquisition. Actual results could differ materially from those projected in the forward-looking statements as a result of a number of important</w:t>
      </w:r>
      <w:r>
        <w:rPr>
          <w:color w:val="000000"/>
        </w:rPr>
        <w:t xml:space="preserve"> </w:t>
      </w:r>
      <w:r>
        <w:rPr>
          <w:rFonts w:ascii="Times New Roman;serif" w:hAnsi="Times New Roman;serif"/>
          <w:b w:val="false"/>
          <w:i/>
          <w:color w:val="000000"/>
          <w:sz w:val="20"/>
        </w:rPr>
        <w:t>factors. For a discussion of known material factors that could affect our results, refer to “Risk Factors” in this quarterly report and "Risk Factors," “Cautionary Statement Regarding Forward-Looking Statements,” and</w:t>
      </w:r>
      <w:r>
        <w:rPr>
          <w:color w:val="000000"/>
        </w:rPr>
        <w:t xml:space="preserve">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i/>
          <w:color w:val="000000"/>
          <w:sz w:val="20"/>
        </w:rPr>
        <w:t>included in our Annual Report on Form 10-K for the year ended December 31, 2025 and our subsequent SEC filings.</w:t>
      </w:r>
      <w:r>
        <w:rPr>
          <w:color w:val="000000"/>
        </w:rPr>
        <w:t xml:space="preserve"> </w:t>
      </w:r>
      <w:r>
        <w:rPr>
          <w:rFonts w:ascii="Times New Roman;serif" w:hAnsi="Times New Roman;serif"/>
          <w:b w:val="false"/>
          <w:i/>
          <w:color w:val="000000"/>
          <w:sz w:val="20"/>
        </w:rPr>
        <w:t>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 addition, in certain places in this quarterly report, we may refer to reports published by third parties that purport to describe trends or developments in the natural resources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pStyle w:val="TextBody"/>
        <w:bidi w:val="0"/>
        <w:spacing w:lineRule="auto" w:line="288" w:before="0" w:after="0"/>
        <w:ind w:left="0" w:right="0" w:firstLine="18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ITEM 2.</w:t>
      </w:r>
      <w:r>
        <w:rPr>
          <w:color w:val="000000"/>
        </w:rPr>
        <w:t xml:space="preserve"> </w:t>
      </w:r>
      <w:r>
        <w:rPr>
          <w:rFonts w:ascii="Times New Roman;serif" w:hAnsi="Times New Roman;serif"/>
          <w:b/>
          <w:i/>
          <w:color w:val="000000"/>
          <w:sz w:val="20"/>
        </w:rPr>
        <w:t>Management’s Discussion and Analysis of Financial Condition and Results of Operations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160" w:after="1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You should read the following discussion and analysis together with our consolidated financial statements and the notes to those statements included elsewhere in this Quarterly Report on Form 10-Q.</w:t>
      </w:r>
    </w:p>
    <w:p>
      <w:pPr>
        <w:pStyle w:val="TextBody"/>
        <w:bidi w:val="0"/>
        <w:spacing w:lineRule="auto" w:line="288" w:before="160" w:after="160"/>
        <w:jc w:val="both"/>
        <w:rPr/>
      </w:pPr>
      <w:r>
        <w:rPr>
          <w:rFonts w:ascii="Times New Roman;serif" w:hAnsi="Times New Roman;serif"/>
          <w:b/>
          <w:color w:val="000000"/>
          <w:sz w:val="20"/>
        </w:rPr>
        <w:t>Overview and Macroeconomic Environment</w:t>
      </w:r>
      <w:r>
        <w:rPr>
          <w:color w:val="000000"/>
        </w:rPr>
        <w:t> </w:t>
      </w:r>
    </w:p>
    <w:p>
      <w:pPr>
        <w:pStyle w:val="TextBody"/>
        <w:bidi w:val="0"/>
        <w:spacing w:lineRule="auto" w:line="288" w:before="160" w:after="1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Demand for the majority of our hospitality services is driven primarily by ongoing operations of existing natural resource projects in Australia and Canada. Historically, initial demand for our hospitality services has been driven by our customers’ capital spending programs related to the construction and development of natural resource projects and associated infrastructure. Long-term demand for our services has been driven by natural resource production, maintenance, operation and expansion of those facilities. In general, industry capital spending programs are based on the outlook for commodity prices, production costs, economic growth, perceived political risk, global commodity supply/demand, reserve replacement requirements, estimates of resource production, annual maintenance requirements, inclusive of turnaround requirements, and the expectations of our customers' shareholders. As a result, demand for our hospitality services may be sensitive to expected commodity prices, principally related to metallurgical (met) coal, oil, iron ore and liquefied natural gas (LNG), and the resultant impact of these commodity price expectations on our customers' spending. In addition to these historical demand drivers, there is increasing demand for our assets and services tied to data center construction, electrification projects and associated infrastructure. This is principally occurring in the United States (U.S.) but could begin to occur in Australia and Canada as well. Other factors that can affect our business and financial results include the general global economic environment, including inflationary pressures, supply chain disruptions and labor shortages, the impact of global tariff changes and other changes to trade policies, volatility affecting the banking system and financial markets, availability of capital to the natural resource industry and regulatory changes in Australia, Canada and other markets, including governmental measures introduced to mitigate climate 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160" w:after="160"/>
        <w:jc w:val="both"/>
        <w:rPr/>
      </w:pPr>
      <w:r>
        <w:rPr/>
      </w:r>
    </w:p>
    <w:p>
      <w:pPr>
        <w:pStyle w:val="TextBody"/>
        <w:bidi w:val="0"/>
        <w:spacing w:lineRule="auto" w:line="268" w:before="160" w:after="160"/>
        <w:jc w:val="both"/>
        <w:rPr>
          <w:rFonts w:ascii="Times New Roman;serif" w:hAnsi="Times New Roman;serif"/>
          <w:b/>
          <w:color w:val="000000"/>
          <w:sz w:val="20"/>
        </w:rPr>
      </w:pPr>
      <w:r>
        <w:rPr>
          <w:rFonts w:ascii="Times New Roman;serif" w:hAnsi="Times New Roman;serif"/>
          <w:b/>
          <w:color w:val="000000"/>
          <w:sz w:val="20"/>
        </w:rPr>
        <w:t>Commodity Prices</w:t>
      </w:r>
    </w:p>
    <w:p>
      <w:pPr>
        <w:pStyle w:val="TextBody"/>
        <w:bidi w:val="0"/>
        <w:spacing w:lineRule="auto" w:line="288" w:before="160" w:after="1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prices for the commodities that our customers produce stabilized in late 2025 and remained elevated through the first half of 2026, there remains continued risk of future volatility, particularly in light of ongoing geopolitical tensions in the Middle East and continuing uncertainty surrounding global trade policy. The factors that could drive such volatility and underlying activity include the ongoing conflict involving Iran, expectations for global macroeconomic stability and growth, inflationary pressures, higher interest rates, economic growth (or contraction) in China and resultant economic stimulus by the Chinese government, the impact of changes to global tariff and trade policies, actions taken by Organization of the Petroleum Exporting Countries Plus (OPEC+) to adjust oil production levels, other geopolitical events such as the ongoing conflicts in Russia and Ukraine, U.S. oil production levels and regulatory implications on such prices. In Canada, ongoing tensions between the U.S. and Canadian governments regarding trade policy may spur Canadian infrastructure projects, including pipelines for LNG or oil, carbon capture installation for oil producing operations and mining for critical minerals.</w:t>
      </w:r>
    </w:p>
    <w:p>
      <w:pPr>
        <w:pStyle w:val="TextBody"/>
        <w:bidi w:val="0"/>
        <w:spacing w:lineRule="auto" w:line="288" w:before="0" w:after="0"/>
        <w:ind w:left="0" w:right="0" w:firstLine="540"/>
        <w:jc w:val="both"/>
        <w:rPr>
          <w:rFonts w:ascii="Times New Roman;serif" w:hAnsi="Times New Roman;serif"/>
          <w:b/>
          <w:i/>
          <w:color w:val="000000"/>
          <w:sz w:val="20"/>
        </w:rPr>
      </w:pPr>
      <w:r>
        <w:rPr>
          <w:rFonts w:ascii="Times New Roman;serif" w:hAnsi="Times New Roman;serif"/>
          <w:b/>
          <w:i/>
          <w:color w:val="000000"/>
          <w:sz w:val="20"/>
        </w:rPr>
        <w:t>Recent Commodity Prices.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Recent met coal, iron ore, West Texas Intermediate (WTI) crude, and Western Canadian Select (WCS) crude pricing trends are as follows:</w:t>
      </w:r>
    </w:p>
    <w:tbl>
      <w:tblPr>
        <w:tblW w:w="8474" w:type="dxa"/>
        <w:jc w:val="center"/>
        <w:tblInd w:w="0" w:type="dxa"/>
        <w:tblLayout w:type="fixed"/>
        <w:tblCellMar>
          <w:top w:w="28" w:type="dxa"/>
          <w:left w:w="28" w:type="dxa"/>
          <w:bottom w:w="28" w:type="dxa"/>
          <w:right w:w="28" w:type="dxa"/>
        </w:tblCellMar>
      </w:tblPr>
      <w:tblGrid>
        <w:gridCol w:w="1106"/>
        <w:gridCol w:w="971"/>
        <w:gridCol w:w="983"/>
        <w:gridCol w:w="109"/>
        <w:gridCol w:w="109"/>
        <w:gridCol w:w="109"/>
        <w:gridCol w:w="243"/>
        <w:gridCol w:w="831"/>
        <w:gridCol w:w="125"/>
        <w:gridCol w:w="109"/>
        <w:gridCol w:w="109"/>
        <w:gridCol w:w="109"/>
        <w:gridCol w:w="223"/>
        <w:gridCol w:w="652"/>
        <w:gridCol w:w="115"/>
        <w:gridCol w:w="109"/>
        <w:gridCol w:w="109"/>
        <w:gridCol w:w="109"/>
        <w:gridCol w:w="211"/>
        <w:gridCol w:w="616"/>
        <w:gridCol w:w="109"/>
        <w:gridCol w:w="109"/>
        <w:gridCol w:w="109"/>
        <w:gridCol w:w="109"/>
        <w:gridCol w:w="211"/>
        <w:gridCol w:w="616"/>
        <w:gridCol w:w="154"/>
      </w:tblGrid>
      <w:tr>
        <w:trPr/>
        <w:tc>
          <w:tcPr>
            <w:tcW w:w="110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7"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Average Price </w:t>
            </w:r>
            <w:r>
              <w:rPr>
                <w:rFonts w:ascii="Times New Roman;serif" w:hAnsi="Times New Roman;serif"/>
                <w:b w:val="false"/>
                <w:color w:val="000000"/>
                <w:sz w:val="13"/>
              </w:rPr>
              <w:t>(1)</w:t>
            </w:r>
          </w:p>
        </w:tc>
      </w:tr>
      <w:tr>
        <w:trPr/>
        <w:tc>
          <w:tcPr>
            <w:tcW w:w="30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w:t>
              <w:br/>
              <w:t>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Hard</w:t>
              <w:br/>
              <w:t xml:space="preserve">Coking Coal </w:t>
              <w:br/>
              <w:t>(Met Coal)</w:t>
              <w:br/>
              <w:t>(per tonne)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Iron</w:t>
              <w:br/>
              <w:t>Ore</w:t>
              <w:br/>
              <w:t>(per tonne)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WTI</w:t>
              <w:br/>
              <w:t>Crude</w:t>
              <w:br/>
              <w:t>(per bbl)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WCS</w:t>
              <w:br/>
              <w:t>Crude</w:t>
              <w:br/>
              <w:t>(per bbl)</w:t>
            </w:r>
          </w:p>
        </w:tc>
      </w:tr>
      <w:tr>
        <w:trPr/>
        <w:tc>
          <w:tcPr>
            <w:tcW w:w="30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Third Quarter through July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231.18 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93.14 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Source: Hard coking coal prices are from IHS Markit, iron ore prices and WCS crude prices are from Bloomberg and WTI crude prices are from U.S. Energy Information Administration.</w:t>
      </w:r>
    </w:p>
    <w:p>
      <w:pPr>
        <w:pStyle w:val="TextBody"/>
        <w:bidi w:val="0"/>
        <w:spacing w:before="0" w:after="0"/>
        <w:ind w:left="0" w:right="0" w:firstLine="540"/>
        <w:jc w:val="left"/>
        <w:rPr/>
      </w:pPr>
      <w:r>
        <w:rPr/>
      </w:r>
    </w:p>
    <w:p>
      <w:pPr>
        <w:pStyle w:val="TextBody"/>
        <w:bidi w:val="0"/>
        <w:spacing w:lineRule="auto" w:line="268" w:before="0" w:after="0"/>
        <w:ind w:left="0" w:right="0" w:firstLine="540"/>
        <w:jc w:val="both"/>
        <w:rPr/>
      </w:pPr>
      <w:r>
        <w:rPr>
          <w:rFonts w:ascii="Times New Roman;serif" w:hAnsi="Times New Roman;serif"/>
          <w:b/>
          <w:i/>
          <w:color w:val="000000"/>
          <w:sz w:val="20"/>
        </w:rPr>
        <w:t xml:space="preserve">Met Coal. </w:t>
      </w:r>
      <w:r>
        <w:rPr>
          <w:rFonts w:ascii="Times New Roman;serif" w:hAnsi="Times New Roman;serif"/>
          <w:b w:val="false"/>
          <w:color w:val="000000"/>
          <w:sz w:val="20"/>
        </w:rPr>
        <w:t xml:space="preserve">In Australia, 86% of our Australian owned rooms are located in the Bowen Basin of Queensland, Australia and primarily serve met coal mines in that region. Met coal pricing and production growth in the Bowen Basin region is predominantly influenced by global steel production, which remained subdued throughout 2025 and into 2026. China, Japan, Brazil and Russia experienced declines in steel production through the first half of 2026, while India and the U.S. continue to see consistent positive growth in 2026. Global tariff developments and recession fears are weighing on current and near-term global steel production, while the ongoing conflict in the Middle East has contributed to further economic and trade uncertainty. While there has been no noticeable impact on met coal prices to date, input costs for producers are expected to increase, particularly due to higher diesel prices. </w:t>
      </w:r>
    </w:p>
    <w:p>
      <w:pPr>
        <w:pStyle w:val="TextBody"/>
        <w:bidi w:val="0"/>
        <w:spacing w:lineRule="auto" w:line="268" w:before="160" w:after="1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Global steel production decreased by 0.7% for the six months through June 2026 compared to the same period in 2025. As of July 27, 2026, met coal spot prices were $219.60 per tonne.</w:t>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Met coal prices in early 2026 fluctuated between $214 and $251 per tonne. In the second quarter of 2026, prices have stabilized and consistently remained above $226 per tonne for extended periods as supply and demand conditions became more balanced, with prices rising in June closer to $245 per tonne. </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Although met coal prices remain well supported above $200 per tonne in the first half of 2026, there is still a heightened focus on cost management for producers which has carried over from 2025. The Middle East conflict has resulted in trade disruption, specifically the seaborne transport of oil and LNG through the Strait of Hormuz, increasing the price of oil, gasoline and diesel, putting further pressure on cost containment if fuel costs continue to stay elevated. In late 2025, several large and mid-tier met coal producers in Queensland, Australia announced production cuts and workforce reductions. This activity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160" w:after="16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continued to slow in the first half of 2026. While met coal prices have settled at a more profitable level in 2026, additional supply is expected to continue entering the market from both Australia and the U.S. during 2026, which could place downward pressure on pricing towards $220 per tonne. These supply and demand dynamics may also be impacted by ongoing geopolitical uncertainties, including the conflict in the Middle East.</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i/>
          <w:color w:val="000000"/>
          <w:sz w:val="20"/>
        </w:rPr>
        <w:t>Iron Ore.</w:t>
      </w:r>
      <w:r>
        <w:rPr>
          <w:color w:val="000000"/>
        </w:rPr>
        <w:t xml:space="preserve"> </w:t>
      </w:r>
      <w:r>
        <w:rPr>
          <w:rFonts w:ascii="Times New Roman;serif" w:hAnsi="Times New Roman;serif"/>
          <w:b w:val="false"/>
          <w:color w:val="000000"/>
          <w:sz w:val="20"/>
        </w:rPr>
        <w:t>Iron ore prices fluctuated between $92 and $107 through early 2026 before easing below $100 in late June, driven by softer steel demand and continued strong iron ore supply. While demand in China remained subdued amid slower construction activity and ongoing steel industry reforms, production from major exporters, including Australia and Brazil, remained strong throughout the first half of 2026. As a result, market sentiment remained cautious heading into the third quarter of 2026, with iron ore prices continuing to be influenced by the balance between global supply and steel demand.</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i/>
          <w:color w:val="000000"/>
          <w:sz w:val="20"/>
        </w:rPr>
        <w:t>WTI Crude.</w:t>
      </w:r>
      <w:r>
        <w:rPr>
          <w:color w:val="000000"/>
        </w:rPr>
        <w:t xml:space="preserve"> </w:t>
      </w:r>
      <w:r>
        <w:rPr>
          <w:rFonts w:ascii="Times New Roman;serif" w:hAnsi="Times New Roman;serif"/>
          <w:b w:val="false"/>
          <w:color w:val="000000"/>
          <w:sz w:val="20"/>
        </w:rPr>
        <w:t xml:space="preserve">WTI crude prices remained elevated during the second quarter of 2026 as oil markets continued to react to geopolitical developments in the Middle East, including concerns regarding the security of global oil supply and shipping routes. In an effort to retain and recapture global market share, OPEC+ began reversing previously implemented production cuts at the beginning of the second quarter of 2025 and continuing throughout 2025, increasing production despite softer global demand for oil. After pausing increases in the first quarter of 2026, OPEC+ resumed unwinding previously implemented production cuts during the second quarter of 2026. </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Current geopolitical conditions have increased volatility in the oil markets, making it more difficult to forecast spending and activity for our Canadian oil customers. </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i/>
          <w:color w:val="000000"/>
          <w:sz w:val="20"/>
        </w:rPr>
        <w:t xml:space="preserve">WCS Crude. </w:t>
      </w:r>
      <w:r>
        <w:rPr>
          <w:rFonts w:ascii="Times New Roman;serif" w:hAnsi="Times New Roman;serif"/>
          <w:b w:val="false"/>
          <w:color w:val="000000"/>
          <w:sz w:val="20"/>
        </w:rPr>
        <w:t xml:space="preserve">In Canada, WCS crude is the benchmark price for our oil sands customers. Pricing for WCS is driven by several factors, including the underlying price for WTI crude, the availability of transportation infrastructure (consisting of pipelines and crude by railcar), refinery blending requirements and governmental regulation. Historically, WCS has traded at a discount to WTI, creating a “WCS Differential,” due to transportation costs and export capacity limitations to move Canadian heavy oil production to refineries, primarily along the U.S. Gulf Coast. As a result of the U.S. government’s recent takeover of the Venezuelan oil production, there is a new concern that Venezuelan heavy crude may displace refinery demand for Canadian heavy crude on the U.S. Gulf Coast over time. </w:t>
      </w:r>
    </w:p>
    <w:p>
      <w:pPr>
        <w:pStyle w:val="TextBody"/>
        <w:bidi w:val="0"/>
        <w:spacing w:lineRule="auto" w:line="268" w:before="160" w:after="1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WCS prices in the second quarter of 2026 averaged $73.05 per barrel compared to an average of $53.15 in the second quarter of 2025. The WCS Differential increased from an average of $12.50 per barrel at the end of the fourth quarter of 2025 to an average of $20.07 at the end of the second quarter of 2026. Changes to global tariff and trade policies affecting oil from Canada could have an adverse impact on our Canadian customers' profit margins, which may in turn reduce their spending on our accommodations and services. With near-term higher prices, Canadian oil sands customers are prioritizing production while focusing on capital discipline and reducing downtime, while continuing to strive for lower operating costs and lower headcount. </w:t>
      </w:r>
    </w:p>
    <w:p>
      <w:pPr>
        <w:pStyle w:val="TextBody"/>
        <w:bidi w:val="0"/>
        <w:spacing w:lineRule="auto" w:line="268" w:before="160" w:after="160"/>
        <w:jc w:val="both"/>
        <w:rPr>
          <w:rFonts w:ascii="Times New Roman;serif" w:hAnsi="Times New Roman;serif"/>
          <w:b/>
          <w:color w:val="000000"/>
          <w:sz w:val="20"/>
        </w:rPr>
      </w:pPr>
      <w:r>
        <w:rPr>
          <w:rFonts w:ascii="Times New Roman;serif" w:hAnsi="Times New Roman;serif"/>
          <w:b/>
          <w:color w:val="000000"/>
          <w:sz w:val="20"/>
        </w:rPr>
        <w:t>Recent Developments and Market Trends</w:t>
      </w:r>
    </w:p>
    <w:p>
      <w:pPr>
        <w:pStyle w:val="TextBody"/>
        <w:bidi w:val="0"/>
        <w:spacing w:lineRule="auto" w:line="268" w:before="0" w:after="0"/>
        <w:ind w:left="0" w:right="0" w:firstLine="540"/>
        <w:jc w:val="both"/>
        <w:rPr/>
      </w:pPr>
      <w:r>
        <w:rPr>
          <w:rFonts w:ascii="Times New Roman;serif" w:hAnsi="Times New Roman;serif"/>
          <w:b/>
          <w:i/>
          <w:color w:val="000000"/>
          <w:sz w:val="20"/>
        </w:rPr>
        <w:t>Qantac Acquisition</w:t>
      </w:r>
      <w:r>
        <w:rPr>
          <w:rFonts w:ascii="Times New Roman;serif" w:hAnsi="Times New Roman;serif"/>
          <w:b w:val="false"/>
          <w:color w:val="000000"/>
          <w:sz w:val="20"/>
        </w:rPr>
        <w:t>. On May 6, 2025, we completed the Qantac Acquisition, which included four villages with 1,368 rooms in Australia’s Bowen Basin and the associated accommodation assets, land and customer contracts. See Note 5 - Asset Acquisition to the notes to the unaudited consolidated financial statements included in Item 1 of this quarterly report for further discussion.</w:t>
      </w:r>
    </w:p>
    <w:p>
      <w:pPr>
        <w:pStyle w:val="TextBody"/>
        <w:bidi w:val="0"/>
        <w:spacing w:before="0" w:after="0"/>
        <w:ind w:left="0" w:right="0" w:firstLine="540"/>
        <w:jc w:val="left"/>
        <w:rPr/>
      </w:pPr>
      <w:r>
        <w:rPr/>
      </w:r>
    </w:p>
    <w:p>
      <w:pPr>
        <w:pStyle w:val="TextBody"/>
        <w:bidi w:val="0"/>
        <w:spacing w:lineRule="auto" w:line="268" w:before="0" w:after="0"/>
        <w:ind w:left="0" w:right="0" w:firstLine="540"/>
        <w:jc w:val="both"/>
        <w:rPr/>
      </w:pPr>
      <w:r>
        <w:rPr>
          <w:rFonts w:ascii="Times New Roman;serif" w:hAnsi="Times New Roman;serif"/>
          <w:b/>
          <w:i/>
          <w:color w:val="000000"/>
          <w:sz w:val="20"/>
        </w:rPr>
        <w:t>Inflationary Pressures.</w:t>
      </w:r>
      <w:r>
        <w:rPr>
          <w:color w:val="000000"/>
        </w:rPr>
        <w:t xml:space="preserve"> </w:t>
      </w:r>
      <w:r>
        <w:rPr>
          <w:rFonts w:ascii="Times New Roman;serif" w:hAnsi="Times New Roman;serif"/>
          <w:b w:val="false"/>
          <w:color w:val="000000"/>
          <w:sz w:val="20"/>
        </w:rPr>
        <w:t xml:space="preserve">Since 2023, price increases resulting from pandemic-related inflation and supply chain disruptions have, and are expected to continue to have, a negative impact on our labor, food and consumable costs, including fuel. Lingering inflation from the pandemic has recently been exacerbated by changes to global tariffs and trade policies. We are managing inflation risk with negotiated service scope changes and contractual protections. Although inflation resulting from global tariffs implemented or threatened by the U.S. administration, and the resulting retaliations by its trading partners, did not materially impact our cost structure in 2025 or the first half of 2026, concerns remain that inflationary pressures could return in the future. </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conflict with Iran and the associated disruptions to shipping through the Strait of Hormuz has adversely affected seaborne trade, specifically the transportation of oil and LNG in the Middle East. Australia imports the majority of its oil and petroleum products, including gasoline and diesel. As a result, continued disruption of trade through the Strait of Hormuz, or a further escalation of the conflict, could materially increase gasoline and diesel prices in Australia, contribute to increased inflation expectations and increase the risk of higher fuel and transportation costs.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pPr>
      <w:r>
        <w:rPr>
          <w:rFonts w:ascii="Times New Roman;serif" w:hAnsi="Times New Roman;serif"/>
          <w:b/>
          <w:i/>
          <w:color w:val="000000"/>
          <w:sz w:val="20"/>
        </w:rPr>
        <w:t xml:space="preserve">Labor Shortages. </w:t>
      </w:r>
      <w:r>
        <w:rPr>
          <w:rFonts w:ascii="Times New Roman;serif" w:hAnsi="Times New Roman;serif"/>
          <w:b w:val="false"/>
          <w:color w:val="000000"/>
          <w:sz w:val="20"/>
        </w:rPr>
        <w:t xml:space="preserve">We continue to experience increased staff costs as a result of hospitality labor shortages in Australia. Australia’s labor market remains historically tight, with unemployment holding above 4% and job mobility (movement of workers between different employers or businesses) at its lowest in decades. A persistent overhang of vacancies continues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160" w:after="1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constrain recruitment, while government stimulus has disproportionately driven job growth in healthcare, aged care, education and public services. Regulated labor costs also remain high, with the Fair Work Commission decisions pushing wage increases well above Consumer Price Index changes, and statutory increases in superannuation, workers’ compensation and payroll tax are further inflating total labor costs. For hospitality, this combination of limited labor supply, competition from government-funded sectors and rising employment costs continues to create pressure on staffing productivity and availability.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i/>
          <w:color w:val="000000"/>
          <w:sz w:val="20"/>
        </w:rPr>
        <w:t>LNG.</w:t>
      </w:r>
      <w:r>
        <w:rPr>
          <w:color w:val="000000"/>
        </w:rPr>
        <w:t xml:space="preserve"> </w:t>
      </w:r>
      <w:r>
        <w:rPr>
          <w:rFonts w:ascii="Times New Roman;serif" w:hAnsi="Times New Roman;serif"/>
          <w:b w:val="false"/>
          <w:color w:val="000000"/>
          <w:sz w:val="20"/>
        </w:rPr>
        <w:t xml:space="preserve">Our Sitka Lodge supports the LNG Canada (LNGC) project and related pipeline projects (specifically, the Coastal GasLink Pipeline, the pipeline constructed to transport natural gas feedstock to LNGC), as well as Cedar LNG. Phase 1 of the LNGC facility commenced commercial operations in June 2025 and the Coastal GasLink Pipeline was completed in 2024. As such, we continue to expect lower occupancy levels at our Sitka Lodge in the near-term until additional phases of the LNGC project are approved and commence, or further regional construction activity increases occupancy demand.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From a macroeconomic standpoint, LNG demand has continued to grow, reinforcing the need for the global LNG industry to expand access to natural gas. Evolving government energy policies around the world have amplified support for cleaner energy supply, creating more opportunities for natural gas and LNG. Ongoing geopolitical conflicts have reinforced the importance for secure natural gas supply globally, particularly in Europe. Accordingly, we expect additional investment in LNG supply will be needed to meet the resulting expected long-term LNG demand growth.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i/>
          <w:color w:val="000000"/>
          <w:sz w:val="20"/>
        </w:rPr>
        <w:t xml:space="preserve">Foreign Currency Exchange Rates. </w:t>
      </w:r>
      <w:r>
        <w:rPr>
          <w:rFonts w:ascii="Times New Roman;serif" w:hAnsi="Times New Roman;serif"/>
          <w:b w:val="false"/>
          <w:color w:val="000000"/>
          <w:sz w:val="20"/>
        </w:rPr>
        <w:t xml:space="preserve">Exchange rates between the U.S. dollar and each of the Australian dollar and the Canadian dollar influence our U.S. dollar reported financial results. Our business has historically derived the vast majority of its revenues and operating income (loss) in Australia and Canada. These revenues and profits/losses are translated into U.S. dollars for financial reporting purposes under U.S. generally accepted accounting principles. The following tables summarize the fluctuations in the exchange rates between the U.S. dollar and each of the Australian dollar and the Canadian dollar: </w:t>
      </w:r>
    </w:p>
    <w:tbl>
      <w:tblPr>
        <w:tblW w:w="10205" w:type="dxa"/>
        <w:jc w:val="center"/>
        <w:tblInd w:w="0" w:type="dxa"/>
        <w:tblLayout w:type="fixed"/>
        <w:tblCellMar>
          <w:top w:w="28" w:type="dxa"/>
          <w:left w:w="28" w:type="dxa"/>
          <w:bottom w:w="28" w:type="dxa"/>
          <w:right w:w="28" w:type="dxa"/>
        </w:tblCellMar>
      </w:tblPr>
      <w:tblGrid>
        <w:gridCol w:w="685"/>
        <w:gridCol w:w="602"/>
        <w:gridCol w:w="604"/>
        <w:gridCol w:w="224"/>
        <w:gridCol w:w="224"/>
        <w:gridCol w:w="228"/>
        <w:gridCol w:w="109"/>
        <w:gridCol w:w="109"/>
        <w:gridCol w:w="109"/>
        <w:gridCol w:w="224"/>
        <w:gridCol w:w="224"/>
        <w:gridCol w:w="228"/>
        <w:gridCol w:w="109"/>
        <w:gridCol w:w="109"/>
        <w:gridCol w:w="109"/>
        <w:gridCol w:w="235"/>
        <w:gridCol w:w="235"/>
        <w:gridCol w:w="236"/>
        <w:gridCol w:w="109"/>
        <w:gridCol w:w="109"/>
        <w:gridCol w:w="109"/>
        <w:gridCol w:w="310"/>
        <w:gridCol w:w="310"/>
        <w:gridCol w:w="311"/>
        <w:gridCol w:w="109"/>
        <w:gridCol w:w="109"/>
        <w:gridCol w:w="109"/>
        <w:gridCol w:w="224"/>
        <w:gridCol w:w="224"/>
        <w:gridCol w:w="228"/>
        <w:gridCol w:w="109"/>
        <w:gridCol w:w="109"/>
        <w:gridCol w:w="109"/>
        <w:gridCol w:w="224"/>
        <w:gridCol w:w="224"/>
        <w:gridCol w:w="228"/>
        <w:gridCol w:w="109"/>
        <w:gridCol w:w="109"/>
        <w:gridCol w:w="109"/>
        <w:gridCol w:w="235"/>
        <w:gridCol w:w="235"/>
        <w:gridCol w:w="236"/>
        <w:gridCol w:w="109"/>
        <w:gridCol w:w="109"/>
        <w:gridCol w:w="109"/>
        <w:gridCol w:w="285"/>
        <w:gridCol w:w="285"/>
        <w:gridCol w:w="408"/>
      </w:tblGrid>
      <w:tr>
        <w:trPr/>
        <w:tc>
          <w:tcPr>
            <w:tcW w:w="68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w:t>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Australian dollar to U.S. dollar</w:t>
            </w:r>
          </w:p>
        </w:tc>
        <w:tc>
          <w:tcPr>
            <w:tcW w:w="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Canadian dollar to U.S. dollar</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r>
    </w:tbl>
    <w:tbl>
      <w:tblPr>
        <w:tblW w:w="8044" w:type="dxa"/>
        <w:jc w:val="center"/>
        <w:tblInd w:w="0" w:type="dxa"/>
        <w:tblLayout w:type="fixed"/>
        <w:tblCellMar>
          <w:top w:w="28" w:type="dxa"/>
          <w:left w:w="28" w:type="dxa"/>
          <w:bottom w:w="28" w:type="dxa"/>
          <w:right w:w="28" w:type="dxa"/>
        </w:tblCellMar>
      </w:tblPr>
      <w:tblGrid>
        <w:gridCol w:w="940"/>
        <w:gridCol w:w="826"/>
        <w:gridCol w:w="829"/>
        <w:gridCol w:w="384"/>
        <w:gridCol w:w="384"/>
        <w:gridCol w:w="386"/>
        <w:gridCol w:w="109"/>
        <w:gridCol w:w="109"/>
        <w:gridCol w:w="109"/>
        <w:gridCol w:w="514"/>
        <w:gridCol w:w="514"/>
        <w:gridCol w:w="516"/>
        <w:gridCol w:w="109"/>
        <w:gridCol w:w="109"/>
        <w:gridCol w:w="109"/>
        <w:gridCol w:w="263"/>
        <w:gridCol w:w="263"/>
        <w:gridCol w:w="268"/>
        <w:gridCol w:w="109"/>
        <w:gridCol w:w="109"/>
        <w:gridCol w:w="109"/>
        <w:gridCol w:w="285"/>
        <w:gridCol w:w="285"/>
        <w:gridCol w:w="406"/>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Australian dollar to U.S. dollar</w:t>
            </w:r>
          </w:p>
        </w:tc>
        <w:tc>
          <w:tcPr>
            <w:tcW w:w="11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Canadian dollar to U.S. dollar</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fluctuations of the Australian and Canadian dollars have had and will continue to have an impact on the translation of earnings generated from our Australian and Canadian subsidiaries and, therefore, our financial results.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i/>
          <w:color w:val="000000"/>
          <w:sz w:val="20"/>
        </w:rPr>
        <w:t>Capital Expenditures.</w:t>
      </w:r>
      <w:r>
        <w:rPr>
          <w:color w:val="000000"/>
        </w:rPr>
        <w:t xml:space="preserve"> </w:t>
      </w:r>
      <w:r>
        <w:rPr>
          <w:rFonts w:ascii="Times New Roman;serif" w:hAnsi="Times New Roman;serif"/>
          <w:b w:val="false"/>
          <w:color w:val="000000"/>
          <w:sz w:val="20"/>
        </w:rPr>
        <w:t xml:space="preserve">We continue to monitor the global economy, commodity prices, demand for met coal, oil, iron ore and LNG, inflation, trade policy and the resultant impact on the capital spending plans of our customers in order to plan our business activities. We currently expect that our 2026 capital expenditures will be in the range of approximately $25 million to $30 million, compared to 2025 capital expenditures of $20.2 million. We may adjust our capital expenditure plans in the future as we continue to monitor customer activity. </w:t>
      </w:r>
    </w:p>
    <w:p>
      <w:pPr>
        <w:pStyle w:val="TextBody"/>
        <w:bidi w:val="0"/>
        <w:spacing w:before="0" w:after="0"/>
        <w:ind w:left="0" w:right="0" w:firstLine="540"/>
        <w:jc w:val="both"/>
        <w:rPr/>
      </w:pPr>
      <w:r>
        <w:rPr/>
      </w:r>
    </w:p>
    <w:p>
      <w:pPr>
        <w:pStyle w:val="TextBody"/>
        <w:bidi w:val="0"/>
        <w:spacing w:lineRule="auto" w:line="268" w:before="0" w:after="0"/>
        <w:ind w:left="0" w:right="0" w:firstLine="540"/>
        <w:jc w:val="left"/>
        <w:rPr/>
      </w:pPr>
      <w:r>
        <w:rPr>
          <w:rFonts w:ascii="Times New Roman;serif" w:hAnsi="Times New Roman;serif"/>
          <w:b w:val="false"/>
          <w:color w:val="000000"/>
          <w:sz w:val="20"/>
        </w:rPr>
        <w:t>See “Liquidity and Capital Resources</w:t>
      </w:r>
      <w:r>
        <w:rPr>
          <w:color w:val="000000"/>
        </w:rPr>
        <w:t xml:space="preserve">” </w:t>
      </w:r>
      <w:r>
        <w:rPr>
          <w:rFonts w:ascii="Times New Roman;serif" w:hAnsi="Times New Roman;serif"/>
          <w:b w:val="false"/>
          <w:color w:val="000000"/>
          <w:sz w:val="20"/>
        </w:rPr>
        <w:t>below for further discussion of our 2026 capital expenditures.</w:t>
      </w:r>
    </w:p>
    <w:p>
      <w:pPr>
        <w:pStyle w:val="TextBody"/>
        <w:bidi w:val="0"/>
        <w:spacing w:before="0" w:after="0"/>
        <w:ind w:left="0" w:right="0" w:firstLine="540"/>
        <w:jc w:val="both"/>
        <w:rPr/>
      </w:pPr>
      <w:r>
        <w:rPr/>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160" w:after="160"/>
        <w:jc w:val="both"/>
        <w:rPr/>
      </w:pPr>
      <w:r>
        <w:rPr/>
      </w:r>
    </w:p>
    <w:p>
      <w:pPr>
        <w:pStyle w:val="TextBody"/>
        <w:bidi w:val="0"/>
        <w:spacing w:lineRule="auto" w:line="288" w:before="0" w:after="0"/>
        <w:jc w:val="both"/>
        <w:rPr/>
      </w:pPr>
      <w:r>
        <w:rPr>
          <w:rFonts w:ascii="Times New Roman;serif" w:hAnsi="Times New Roman;serif"/>
          <w:b/>
          <w:color w:val="000000"/>
          <w:sz w:val="20"/>
        </w:rPr>
        <w:t>Results of Operations</w:t>
      </w:r>
      <w:r>
        <w:rPr>
          <w:color w:val="000000"/>
        </w:rPr>
        <w:t> </w:t>
      </w:r>
    </w:p>
    <w:p>
      <w:pPr>
        <w:pStyle w:val="TextBody"/>
        <w:bidi w:val="0"/>
        <w:spacing w:lineRule="auto" w:line="288" w:before="160" w:after="160"/>
        <w:ind w:left="0" w:right="0" w:firstLine="540"/>
        <w:jc w:val="both"/>
        <w:rPr/>
      </w:pPr>
      <w:r>
        <w:rPr>
          <w:rFonts w:ascii="Times New Roman;serif" w:hAnsi="Times New Roman;serif"/>
          <w:b w:val="false"/>
          <w:i/>
          <w:color w:val="000000"/>
          <w:sz w:val="20"/>
        </w:rPr>
        <w:t>Unless otherwise indicated, discussion of results for the three and six months ended June 30, 2026, is based on a comparison to the corresponding period of 2025.</w:t>
      </w:r>
      <w:r>
        <w:rPr>
          <w:color w:val="000000"/>
        </w:rPr>
        <w:t xml:space="preserve">  </w:t>
      </w:r>
    </w:p>
    <w:p>
      <w:pPr>
        <w:pStyle w:val="TextBody"/>
        <w:bidi w:val="0"/>
        <w:spacing w:lineRule="auto" w:line="288" w:before="0" w:after="0"/>
        <w:jc w:val="left"/>
        <w:rPr/>
      </w:pPr>
      <w:r>
        <w:rPr>
          <w:rFonts w:ascii="Times New Roman;serif" w:hAnsi="Times New Roman;serif"/>
          <w:b/>
          <w:i/>
          <w:color w:val="000000"/>
          <w:sz w:val="20"/>
        </w:rPr>
        <w:t>Results of Operations</w:t>
      </w:r>
      <w:r>
        <w:rPr>
          <w:color w:val="000000"/>
        </w:rPr>
        <w:t xml:space="preserve"> – </w:t>
      </w:r>
      <w:r>
        <w:rPr>
          <w:rFonts w:ascii="Times New Roman;serif" w:hAnsi="Times New Roman;serif"/>
          <w:b/>
          <w:i/>
          <w:color w:val="000000"/>
          <w:sz w:val="20"/>
        </w:rPr>
        <w:t>Three Months Ended June 30, 2026</w:t>
      </w:r>
      <w:r>
        <w:rPr>
          <w:color w:val="000000"/>
        </w:rPr>
        <w:t xml:space="preserve"> </w:t>
      </w:r>
      <w:r>
        <w:rPr>
          <w:rFonts w:ascii="Times New Roman;serif" w:hAnsi="Times New Roman;serif"/>
          <w:b/>
          <w:i/>
          <w:color w:val="000000"/>
          <w:sz w:val="20"/>
        </w:rPr>
        <w:t xml:space="preserve">Compared to Three Months Ended June 30, 2025 </w:t>
      </w:r>
    </w:p>
    <w:p>
      <w:pPr>
        <w:pStyle w:val="TextBody"/>
        <w:bidi w:val="0"/>
        <w:spacing w:lineRule="auto" w:line="288" w:before="0" w:after="0"/>
        <w:ind w:left="0" w:right="0" w:firstLine="180"/>
        <w:jc w:val="left"/>
        <w:rPr>
          <w:color w:val="000000"/>
        </w:rPr>
      </w:pPr>
      <w:r>
        <w:rPr>
          <w:color w:val="000000"/>
        </w:rPr>
        <w:t> </w:t>
      </w:r>
    </w:p>
    <w:tbl>
      <w:tblPr>
        <w:tblW w:w="8081" w:type="dxa"/>
        <w:jc w:val="center"/>
        <w:tblInd w:w="0" w:type="dxa"/>
        <w:tblLayout w:type="fixed"/>
        <w:tblCellMar>
          <w:top w:w="28" w:type="dxa"/>
          <w:left w:w="28" w:type="dxa"/>
          <w:bottom w:w="28" w:type="dxa"/>
          <w:right w:w="28" w:type="dxa"/>
        </w:tblCellMar>
      </w:tblPr>
      <w:tblGrid>
        <w:gridCol w:w="1577"/>
        <w:gridCol w:w="1380"/>
        <w:gridCol w:w="1392"/>
        <w:gridCol w:w="196"/>
        <w:gridCol w:w="736"/>
        <w:gridCol w:w="109"/>
        <w:gridCol w:w="109"/>
        <w:gridCol w:w="109"/>
        <w:gridCol w:w="109"/>
        <w:gridCol w:w="196"/>
        <w:gridCol w:w="736"/>
        <w:gridCol w:w="109"/>
        <w:gridCol w:w="109"/>
        <w:gridCol w:w="109"/>
        <w:gridCol w:w="109"/>
        <w:gridCol w:w="196"/>
        <w:gridCol w:w="646"/>
        <w:gridCol w:w="154"/>
      </w:tblGrid>
      <w:tr>
        <w:trPr/>
        <w:tc>
          <w:tcPr>
            <w:tcW w:w="157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 thousands)</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Australia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Canada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180,017 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162,694 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17,323 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Costs and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and services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Australia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Canada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 of sales and services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17,080 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(income)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costs and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174,925 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15,031 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Income tax expense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income (loss) attributable to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Civeo Corporation</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center"/>
        <w:rPr>
          <w:color w:val="000000"/>
        </w:rPr>
      </w:pPr>
      <w:r>
        <w:rPr>
          <w:color w:val="000000"/>
        </w:rPr>
        <w:t> </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reported net loss attributable to Civeo for the quarter ended June 30, 2026 of $2.5 million or $0.23 per diluted share. Net loss included $1.5 million related to the resolution of a sales and occupancy tax matter, $0.1 million related to real estate rationalization efforts in Canada and $0.1 million of shareholder activist related costs.</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reported net loss attributable to Civeo for the quarter ended June 30, 2025 of $3.3 million, or $0.25 per diluted share. Net loss included $3.2 million of shareholder activist related costs and $0.5 million of cost saving initiatives in Canada related to two lodge closures.</w:t>
      </w:r>
    </w:p>
    <w:p>
      <w:pPr>
        <w:pStyle w:val="TextBody"/>
        <w:bidi w:val="0"/>
        <w:spacing w:lineRule="auto" w:line="268" w:before="0" w:after="0"/>
        <w:ind w:left="0" w:right="0" w:firstLine="540"/>
        <w:jc w:val="both"/>
        <w:rPr/>
      </w:pPr>
      <w:r>
        <w:rPr>
          <w:rFonts w:ascii="Times New Roman;serif" w:hAnsi="Times New Roman;serif"/>
          <w:b/>
          <w:color w:val="000000"/>
          <w:sz w:val="20"/>
        </w:rPr>
        <w:t>Revenues.</w:t>
      </w:r>
      <w:r>
        <w:rPr>
          <w:color w:val="000000"/>
        </w:rPr>
        <w:t xml:space="preserve"> </w:t>
      </w:r>
      <w:r>
        <w:rPr>
          <w:rFonts w:ascii="Times New Roman;serif" w:hAnsi="Times New Roman;serif"/>
          <w:b w:val="false"/>
          <w:color w:val="000000"/>
          <w:sz w:val="20"/>
        </w:rPr>
        <w:t>Consolidated revenues increased $17.3 million, or 11%, in the second quarter of 2026 compared to the second quarter of 2025. This increase was primarily driven by (i) new integrated services business in Queensland and Canada, (ii) contributions in Australia from the Qantac Acquisition in the second quarter of 2025, (iii) higher billed rooms at our Canadian lodges and (iv) a stronger Australian dollar relative to the U.S. dollar in the second quarter of 2026 compared to the second quarter of 2025. These increases were partially offset by reduced occupancy at our legacy Bowen Basin villages in Queensland. See the discussion of segment results of operations below for further information.</w:t>
      </w:r>
    </w:p>
    <w:p>
      <w:pPr>
        <w:pStyle w:val="TextBody"/>
        <w:bidi w:val="0"/>
        <w:spacing w:before="0" w:after="0"/>
        <w:jc w:val="both"/>
        <w:rPr/>
      </w:pPr>
      <w:r>
        <w:rPr/>
      </w:r>
    </w:p>
    <w:p>
      <w:pPr>
        <w:pStyle w:val="TextBody"/>
        <w:bidi w:val="0"/>
        <w:spacing w:lineRule="auto" w:line="268" w:before="0" w:after="0"/>
        <w:ind w:left="0" w:right="0" w:firstLine="540"/>
        <w:jc w:val="both"/>
        <w:rPr/>
      </w:pPr>
      <w:r>
        <w:rPr>
          <w:rFonts w:ascii="Times New Roman;serif" w:hAnsi="Times New Roman;serif"/>
          <w:b/>
          <w:color w:val="000000"/>
          <w:sz w:val="20"/>
        </w:rPr>
        <w:t>Cost of Sales and Services.</w:t>
      </w:r>
      <w:r>
        <w:rPr>
          <w:color w:val="000000"/>
        </w:rPr>
        <w:t xml:space="preserve"> </w:t>
      </w:r>
      <w:r>
        <w:rPr>
          <w:rFonts w:ascii="Times New Roman;serif" w:hAnsi="Times New Roman;serif"/>
          <w:b w:val="false"/>
          <w:color w:val="000000"/>
          <w:sz w:val="20"/>
        </w:rPr>
        <w:t>Our consolidated cost of sales and services increased $17.1 million, or 14%, in the second quarter of 2026 compared to the second quarter of 2025. This increase was primarily driven by (i) new integrated services business in Queensland and Canada, including the associated overhead costs, (ii) incremental costs in Australia associated with the Qantac Acquisition in the second quarter of 2025, (iii) increased occupancy levels, higher food and service costs resulting from inflation and increased repairs and maintenance expense in Canada and (iv) a stronger Australian dollar relative to the U.S. dollar in the second quarter of 2026 compared to the second quarter of 2025. These increases were partially offset by lower costs and reduced indirect costs at certain Canadian lodges resulting from cost reduction measures implemented in early 2025. See the discussion of segment results of operations below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160" w:after="160"/>
        <w:jc w:val="both"/>
        <w:rPr/>
      </w:pPr>
      <w:r>
        <w:rPr/>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color w:val="000000"/>
          <w:sz w:val="20"/>
        </w:rPr>
        <w:t>Selling, General and Administrative Expenses.</w:t>
      </w:r>
      <w:r>
        <w:rPr>
          <w:color w:val="000000"/>
        </w:rPr>
        <w:t xml:space="preserve"> </w:t>
      </w:r>
      <w:r>
        <w:rPr>
          <w:rFonts w:ascii="Times New Roman;serif" w:hAnsi="Times New Roman;serif"/>
          <w:b w:val="false"/>
          <w:color w:val="000000"/>
          <w:sz w:val="20"/>
        </w:rPr>
        <w:t>Selling, general and administrative (SG&amp;A) expenses decreased $0.1 million in the second quarter of 2026 compared to the second quarter of 2025. This decrease was primarily driven by a $3.7 million reduction in professional fees, including $3.2 million of shareholder activist related costs incurred in the second quarter of 2025. This decrease was partially offset by $1.5 million related to the resolution of a sales and occupancy tax matter, higher share-based compensation expense of $0.7 million, higher compensation expense of $0.5 million and a stronger Australian dollar relative to the U.S. dollar in the second quarter of 2026 compared to the second quarter of 2025.</w:t>
      </w:r>
    </w:p>
    <w:p>
      <w:pPr>
        <w:pStyle w:val="TextBody"/>
        <w:bidi w:val="0"/>
        <w:spacing w:lineRule="auto" w:line="288" w:before="160" w:after="160"/>
        <w:ind w:left="0" w:right="0" w:firstLine="540"/>
        <w:jc w:val="both"/>
        <w:rPr/>
      </w:pPr>
      <w:r>
        <w:rPr>
          <w:rFonts w:ascii="Times New Roman;serif" w:hAnsi="Times New Roman;serif"/>
          <w:b/>
          <w:color w:val="000000"/>
          <w:sz w:val="20"/>
        </w:rPr>
        <w:t>Depreciation and Amortization Expense.</w:t>
      </w:r>
      <w:r>
        <w:rPr>
          <w:color w:val="000000"/>
        </w:rPr>
        <w:t xml:space="preserve"> </w:t>
      </w:r>
      <w:r>
        <w:rPr>
          <w:rFonts w:ascii="Times New Roman;serif" w:hAnsi="Times New Roman;serif"/>
          <w:b w:val="false"/>
          <w:color w:val="000000"/>
          <w:sz w:val="20"/>
        </w:rPr>
        <w:t xml:space="preserve">Depreciation and amortization expense decreased $1.5 million, or 8%, in the second quarter of 2026 compared to the second quarter of 2025. The decrease was primarily due to certain assets becoming fully depreciated in Canada and Australia. This decrease was partially offset by additional depreciation on property, plant and equipment acquired in the Qantac Acquisition and a stronger Australian dollar relative to the U.S. dollar in the second quarter of 2026 compared to the second quarter of 2025. </w:t>
      </w:r>
    </w:p>
    <w:p>
      <w:pPr>
        <w:pStyle w:val="TextBody"/>
        <w:bidi w:val="0"/>
        <w:spacing w:lineRule="auto" w:line="288" w:before="160" w:after="160"/>
        <w:ind w:left="0" w:right="0" w:firstLine="540"/>
        <w:jc w:val="both"/>
        <w:rPr/>
      </w:pPr>
      <w:r>
        <w:rPr>
          <w:rFonts w:ascii="Times New Roman;serif" w:hAnsi="Times New Roman;serif"/>
          <w:b/>
          <w:color w:val="000000"/>
          <w:sz w:val="20"/>
        </w:rPr>
        <w:t>Operating Income (Expense).</w:t>
      </w:r>
      <w:r>
        <w:rPr>
          <w:color w:val="000000"/>
        </w:rPr>
        <w:t xml:space="preserve"> </w:t>
      </w:r>
      <w:r>
        <w:rPr>
          <w:rFonts w:ascii="Times New Roman;serif" w:hAnsi="Times New Roman;serif"/>
          <w:b w:val="false"/>
          <w:color w:val="000000"/>
          <w:sz w:val="20"/>
        </w:rPr>
        <w:t xml:space="preserve">Consolidated operating income increased $2.3 million, or 82%, in the second quarter of 2026 compared to the second quarter of 2025, primarily driven by the Qantac Acquisition in Australia and lower depreciation and amortization expenses in the second quarter of 2026 compared to the second quarter of 2025. </w:t>
      </w:r>
    </w:p>
    <w:p>
      <w:pPr>
        <w:pStyle w:val="TextBody"/>
        <w:bidi w:val="0"/>
        <w:spacing w:lineRule="auto" w:line="288" w:before="160" w:after="160"/>
        <w:ind w:left="0" w:right="0" w:firstLine="540"/>
        <w:jc w:val="both"/>
        <w:rPr/>
      </w:pPr>
      <w:r>
        <w:rPr>
          <w:rFonts w:ascii="Times New Roman;serif" w:hAnsi="Times New Roman;serif"/>
          <w:b/>
          <w:color w:val="000000"/>
          <w:sz w:val="20"/>
        </w:rPr>
        <w:t>Interest Expense, net.</w:t>
      </w:r>
      <w:r>
        <w:rPr>
          <w:color w:val="000000"/>
        </w:rPr>
        <w:t xml:space="preserve"> </w:t>
      </w:r>
      <w:r>
        <w:rPr>
          <w:rFonts w:ascii="Times New Roman;serif" w:hAnsi="Times New Roman;serif"/>
          <w:b w:val="false"/>
          <w:color w:val="000000"/>
          <w:sz w:val="20"/>
        </w:rPr>
        <w:t>Net interest expense increased by $1.6 million, or 60%, in the second quarter of 2026 compared to the second quarter of 2025, primarily related to higher average debt levels, as a result of the Qantac Acquisition and increased share repurchases during 2025.</w:t>
      </w:r>
    </w:p>
    <w:p>
      <w:pPr>
        <w:pStyle w:val="TextBody"/>
        <w:bidi w:val="0"/>
        <w:spacing w:lineRule="auto" w:line="288" w:before="160" w:after="160"/>
        <w:ind w:left="0" w:right="0" w:firstLine="540"/>
        <w:jc w:val="both"/>
        <w:rPr/>
      </w:pPr>
      <w:r>
        <w:rPr>
          <w:rFonts w:ascii="Times New Roman;serif" w:hAnsi="Times New Roman;serif"/>
          <w:b/>
          <w:color w:val="000000"/>
          <w:sz w:val="20"/>
        </w:rPr>
        <w:t>Income Tax Expense.</w:t>
      </w:r>
      <w:r>
        <w:rPr>
          <w:color w:val="000000"/>
        </w:rPr>
        <w:t xml:space="preserve"> </w:t>
      </w:r>
      <w:r>
        <w:rPr>
          <w:rFonts w:ascii="Times New Roman;serif" w:hAnsi="Times New Roman;serif"/>
          <w:b w:val="false"/>
          <w:color w:val="000000"/>
          <w:sz w:val="20"/>
        </w:rPr>
        <w:t xml:space="preserve">Our income tax expense for the three months ended June 30, 2026 totaled $3.5 million, or 349.7% of pretax income, compared to an income tax expense of $3.6 million, or 1222.4% of pretax income, for the three months ended June 30, 2025. Our effective tax rate for the three months ended June 30, 2026 and 2025 was impacted by Canada and the U.S. being considered loss jurisdictions that were removed from the annual effective tax rate computation for purposes of computing the interim tax provision. </w:t>
      </w:r>
    </w:p>
    <w:p>
      <w:pPr>
        <w:pStyle w:val="TextBody"/>
        <w:bidi w:val="0"/>
        <w:spacing w:lineRule="auto" w:line="288" w:before="0" w:after="0"/>
        <w:ind w:left="0" w:right="0" w:firstLine="540"/>
        <w:jc w:val="both"/>
        <w:rPr/>
      </w:pPr>
      <w:r>
        <w:rPr>
          <w:rFonts w:ascii="Times New Roman;serif" w:hAnsi="Times New Roman;serif"/>
          <w:b/>
          <w:color w:val="000000"/>
          <w:sz w:val="20"/>
        </w:rPr>
        <w:t>Other Comprehensive</w:t>
      </w:r>
      <w:r>
        <w:rPr>
          <w:color w:val="000000"/>
        </w:rPr>
        <w:t xml:space="preserve"> </w:t>
      </w:r>
      <w:r>
        <w:rPr>
          <w:rFonts w:ascii="Times New Roman;serif" w:hAnsi="Times New Roman;serif"/>
          <w:b/>
          <w:color w:val="000000"/>
          <w:sz w:val="20"/>
        </w:rPr>
        <w:t>Income (Loss).</w:t>
      </w:r>
      <w:r>
        <w:rPr>
          <w:color w:val="000000"/>
        </w:rPr>
        <w:t xml:space="preserve"> </w:t>
      </w:r>
      <w:r>
        <w:rPr>
          <w:rFonts w:ascii="Times New Roman;serif" w:hAnsi="Times New Roman;serif"/>
          <w:b w:val="false"/>
          <w:color w:val="000000"/>
          <w:sz w:val="20"/>
        </w:rPr>
        <w:t xml:space="preserve">Other comprehensive income decreased $10.3 million in the second quarter of 2026 compared to the second quarter of 2025, primarily as a result of foreign currency translation adjustments due to changes in the Australian and Canadian dollar exchange rates compared to the U.S. dollar. The Australian dollar exchange rate compared to the U.S. dollar increased 0.4% in the second quarter of 2026 compared to a 5% increase in the second quarter of 2025. The Canadian dollar exchange rate compared to the U.S. dollar decreased 2% in the second quarter of 2026 compared to a 5% increase in the second quarter of 2025. </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160" w:after="160"/>
        <w:jc w:val="both"/>
        <w:rPr/>
      </w:pPr>
      <w:r>
        <w:rPr/>
      </w:r>
    </w:p>
    <w:p>
      <w:pPr>
        <w:pStyle w:val="TextBody"/>
        <w:bidi w:val="0"/>
        <w:spacing w:lineRule="auto" w:line="276" w:before="0" w:after="0"/>
        <w:jc w:val="left"/>
        <w:rPr/>
      </w:pPr>
      <w:r>
        <w:rPr>
          <w:rFonts w:ascii="Times New Roman;serif" w:hAnsi="Times New Roman;serif"/>
          <w:b/>
          <w:i/>
          <w:color w:val="000000"/>
          <w:sz w:val="20"/>
        </w:rPr>
        <w:t>Segment Results of Operations</w:t>
      </w:r>
      <w:r>
        <w:rPr>
          <w:color w:val="000000"/>
        </w:rPr>
        <w:t xml:space="preserve"> – </w:t>
      </w:r>
      <w:r>
        <w:rPr>
          <w:rFonts w:ascii="Times New Roman;serif" w:hAnsi="Times New Roman;serif"/>
          <w:b/>
          <w:i/>
          <w:color w:val="000000"/>
          <w:sz w:val="20"/>
        </w:rPr>
        <w:t>Australian</w:t>
      </w:r>
      <w:r>
        <w:rPr>
          <w:color w:val="000000"/>
        </w:rPr>
        <w:t xml:space="preserve"> </w:t>
      </w:r>
      <w:r>
        <w:rPr>
          <w:rFonts w:ascii="Times New Roman;serif" w:hAnsi="Times New Roman;serif"/>
          <w:b/>
          <w:i/>
          <w:color w:val="000000"/>
          <w:sz w:val="20"/>
        </w:rPr>
        <w:t>Segment</w:t>
      </w:r>
    </w:p>
    <w:tbl>
      <w:tblPr>
        <w:tblW w:w="7788" w:type="dxa"/>
        <w:jc w:val="center"/>
        <w:tblInd w:w="0" w:type="dxa"/>
        <w:tblLayout w:type="fixed"/>
        <w:tblCellMar>
          <w:top w:w="28" w:type="dxa"/>
          <w:left w:w="28" w:type="dxa"/>
          <w:bottom w:w="28" w:type="dxa"/>
          <w:right w:w="28" w:type="dxa"/>
        </w:tblCellMar>
      </w:tblPr>
      <w:tblGrid>
        <w:gridCol w:w="1327"/>
        <w:gridCol w:w="1164"/>
        <w:gridCol w:w="1169"/>
        <w:gridCol w:w="196"/>
        <w:gridCol w:w="736"/>
        <w:gridCol w:w="241"/>
        <w:gridCol w:w="109"/>
        <w:gridCol w:w="109"/>
        <w:gridCol w:w="109"/>
        <w:gridCol w:w="196"/>
        <w:gridCol w:w="736"/>
        <w:gridCol w:w="241"/>
        <w:gridCol w:w="109"/>
        <w:gridCol w:w="109"/>
        <w:gridCol w:w="109"/>
        <w:gridCol w:w="196"/>
        <w:gridCol w:w="646"/>
        <w:gridCol w:w="286"/>
      </w:tblGrid>
      <w:tr>
        <w:trPr/>
        <w:tc>
          <w:tcPr>
            <w:tcW w:w="132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 in thousands)</w:t>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Accommodation and associated services revenue </w:t>
            </w:r>
            <w:r>
              <w:rPr>
                <w:rFonts w:ascii="Times New Roman;serif" w:hAnsi="Times New Roman;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Integrated services and other services revenue</w:t>
            </w:r>
            <w:r>
              <w:rPr>
                <w:color w:val="000000"/>
              </w:rPr>
              <w:t xml:space="preserve"> </w:t>
            </w:r>
            <w:r>
              <w:rPr>
                <w:rFonts w:ascii="Times New Roman;serif" w:hAnsi="Times New Roman;serif"/>
                <w:b w:val="false"/>
                <w:color w:val="000000"/>
                <w:sz w:val="10"/>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125,446 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112,672 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12,774 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and services ($ in thousands)</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Accommodation and associated services cost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Integrated services and other services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Indirect other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 of sales and services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94,114 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82,477 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11,637 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margin as a %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Average daily rate for owned villages</w:t>
            </w:r>
            <w:r>
              <w:rPr>
                <w:color w:val="000000"/>
              </w:rPr>
              <w:t xml:space="preserve"> </w:t>
            </w:r>
            <w:r>
              <w:rPr>
                <w:rFonts w:ascii="Times New Roman;serif" w:hAnsi="Times New Roman;serif"/>
                <w:b w:val="false"/>
                <w:color w:val="000000"/>
                <w:sz w:val="10"/>
              </w:rPr>
              <w:t>(3)</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billed rooms for owned villages</w:t>
            </w:r>
            <w:r>
              <w:rPr>
                <w:color w:val="000000"/>
              </w:rPr>
              <w:t xml:space="preserve"> </w:t>
            </w:r>
            <w:r>
              <w:rPr>
                <w:rFonts w:ascii="Times New Roman;serif" w:hAnsi="Times New Roman;serif"/>
                <w:b w:val="false"/>
                <w:color w:val="000000"/>
                <w:sz w:val="10"/>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674,506 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690,506 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Australian dollar to U.S. dollar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Includes revenues related to village rooms and hospitality services for owned rooms for the periods presented.</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Includes revenues related to food services and other services, including facilities management for the periods presented.</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Average daily rate is based on billed rooms and accommodation revenue in our owned villages.</w:t>
      </w:r>
    </w:p>
    <w:p>
      <w:pPr>
        <w:pStyle w:val="TextBody"/>
        <w:bidi w:val="0"/>
        <w:spacing w:lineRule="auto" w:line="288" w:before="0" w:after="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Billed rooms represent total billed days for owned assets for the periods presented.</w:t>
      </w:r>
    </w:p>
    <w:p>
      <w:pPr>
        <w:pStyle w:val="TextBody"/>
        <w:bidi w:val="0"/>
        <w:spacing w:before="0" w:after="0"/>
        <w:ind w:left="0" w:right="0" w:hanging="360"/>
        <w:jc w:val="left"/>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0"/>
        </w:rPr>
        <w:t>Our Australian segment reported revenues in the second quarter of 2026 that were $12.8 million, or 11%, higher than the second quarter of 2025.</w:t>
      </w:r>
      <w:r>
        <w:rPr>
          <w:color w:val="EE2724"/>
        </w:rPr>
        <w:t xml:space="preserve"> </w:t>
      </w:r>
      <w:r>
        <w:rPr>
          <w:rFonts w:ascii="Times New Roman;serif" w:hAnsi="Times New Roman;serif"/>
          <w:b w:val="false"/>
          <w:color w:val="000000"/>
          <w:sz w:val="20"/>
        </w:rPr>
        <w:t>The strengthening of the average exchange rate for the Australian dollar relative to the U.S. dollar by 10.8% in the second quarter of 2026 compared to the second quarter of 2025 resulted in a $12.2 million period-over-period increase in revenues.</w:t>
      </w:r>
      <w:r>
        <w:rPr>
          <w:color w:val="EE2724"/>
        </w:rPr>
        <w:t xml:space="preserve"> </w:t>
      </w:r>
      <w:r>
        <w:rPr>
          <w:rFonts w:ascii="Times New Roman;serif" w:hAnsi="Times New Roman;serif"/>
          <w:b w:val="false"/>
          <w:color w:val="000000"/>
          <w:sz w:val="20"/>
        </w:rPr>
        <w:t>On a constant currency basis, the Australian segment experienced a 0.5% period-over-period increase in revenues. Excluding the impact of the strengthening Australian exchange rate, the increase in the Australian segment was driven by new integrated services business in Queensland and the Qantac Acquisition in the second quarter of 2025, partially offset by reduced occupancy at our legacy Bowen Basin villages in Queensland.</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Australian segment cost of sales and services increased $11.6 million, or 14%, in the second quarter of 2026 compared to the second quarter of 2025. The strengthening of the average exchange rate for the Australian dollar relative to the U.S. dollar by 10.8% in the second quarter of 2026 compared to the second quarter of 2025 resulted in a $9.2 million period-over-period increase in cost of sales and services. Excluding the impact of the strengthening Australian exchange rate, the increase in cost of sales and services in the Australian segment was largely driven by the Qantac Acquisition and new integrated services business in Queensland, including the associated overhead costs.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Australian segment gross margin as a percentage of revenues decreased to 25.0% in the second quarter of 2026 from 26.8% in the second quarter of 2025. This was primarily driven by reduced activity at our Bowen Basin villages in Queensland, reduced retail sales across our integrated services business and increased operating costs arising from the ongoing industry-wide shortages of skilled labor. The reduced segment gross margin was also due to higher relative revenue contribution from our integrated services business, which has a service-only business model and generates lower overall gross margins than our accommodation business.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160" w:after="160"/>
        <w:jc w:val="both"/>
        <w:rPr/>
      </w:pPr>
      <w:r>
        <w:rPr/>
      </w:r>
    </w:p>
    <w:p>
      <w:pPr>
        <w:pStyle w:val="TextBody"/>
        <w:bidi w:val="0"/>
        <w:spacing w:lineRule="auto" w:line="288" w:before="0" w:after="0"/>
        <w:jc w:val="left"/>
        <w:rPr/>
      </w:pPr>
      <w:r>
        <w:rPr>
          <w:rFonts w:ascii="Times New Roman;serif" w:hAnsi="Times New Roman;serif"/>
          <w:b/>
          <w:i/>
          <w:color w:val="000000"/>
          <w:sz w:val="20"/>
        </w:rPr>
        <w:t>Segment Results of Operations</w:t>
      </w:r>
      <w:r>
        <w:rPr>
          <w:color w:val="000000"/>
        </w:rPr>
        <w:t xml:space="preserve"> – </w:t>
      </w:r>
      <w:r>
        <w:rPr>
          <w:rFonts w:ascii="Times New Roman;serif" w:hAnsi="Times New Roman;serif"/>
          <w:b/>
          <w:i/>
          <w:color w:val="000000"/>
          <w:sz w:val="20"/>
        </w:rPr>
        <w:t>Canadian Segment</w:t>
      </w:r>
    </w:p>
    <w:tbl>
      <w:tblPr>
        <w:tblW w:w="7818" w:type="dxa"/>
        <w:jc w:val="center"/>
        <w:tblInd w:w="0" w:type="dxa"/>
        <w:tblLayout w:type="fixed"/>
        <w:tblCellMar>
          <w:top w:w="28" w:type="dxa"/>
          <w:left w:w="28" w:type="dxa"/>
          <w:bottom w:w="28" w:type="dxa"/>
          <w:right w:w="28" w:type="dxa"/>
        </w:tblCellMar>
      </w:tblPr>
      <w:tblGrid>
        <w:gridCol w:w="1436"/>
        <w:gridCol w:w="1259"/>
        <w:gridCol w:w="1265"/>
        <w:gridCol w:w="196"/>
        <w:gridCol w:w="646"/>
        <w:gridCol w:w="241"/>
        <w:gridCol w:w="109"/>
        <w:gridCol w:w="109"/>
        <w:gridCol w:w="109"/>
        <w:gridCol w:w="196"/>
        <w:gridCol w:w="646"/>
        <w:gridCol w:w="241"/>
        <w:gridCol w:w="109"/>
        <w:gridCol w:w="109"/>
        <w:gridCol w:w="109"/>
        <w:gridCol w:w="196"/>
        <w:gridCol w:w="556"/>
        <w:gridCol w:w="286"/>
      </w:tblGrid>
      <w:tr>
        <w:trPr/>
        <w:tc>
          <w:tcPr>
            <w:tcW w:w="143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 in thousands)</w:t>
            </w:r>
          </w:p>
        </w:tc>
        <w:tc>
          <w:tcPr>
            <w:tcW w:w="10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Accommodation and associated services revenue </w:t>
            </w:r>
            <w:r>
              <w:rPr>
                <w:rFonts w:ascii="Times New Roman;serif" w:hAnsi="Times New Roman;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Mobile facility rental and associated services revenue </w:t>
            </w:r>
            <w:r>
              <w:rPr>
                <w:rFonts w:ascii="Times New Roman;serif" w:hAnsi="Times New Roman;serif"/>
                <w:b w:val="false"/>
                <w:color w:val="000000"/>
                <w:sz w:val="10"/>
              </w:rPr>
              <w:t>(2)</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Integrated services and other services revenue</w:t>
            </w:r>
            <w:r>
              <w:rPr>
                <w:color w:val="000000"/>
              </w:rPr>
              <w:t xml:space="preserve"> </w:t>
            </w:r>
            <w:r>
              <w:rPr>
                <w:rFonts w:ascii="Times New Roman;serif" w:hAnsi="Times New Roman;serif"/>
                <w:b w:val="false"/>
                <w:color w:val="000000"/>
                <w:sz w:val="10"/>
              </w:rPr>
              <w:t>(3)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54,571 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50,022 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and services ($ in thousands)</w:t>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Accommodation and associated services cost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Mobile facility rental and associated services cost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Integrated services and other services cost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Indirect other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 of sales and services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44,258 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39,037 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5,221 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margin as a % of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Average daily rate for owned lodges</w:t>
            </w:r>
            <w:r>
              <w:rPr>
                <w:color w:val="000000"/>
              </w:rPr>
              <w:t xml:space="preserve"> </w:t>
            </w:r>
            <w:r>
              <w:rPr>
                <w:rFonts w:ascii="Times New Roman;serif" w:hAnsi="Times New Roman;serif"/>
                <w:b w:val="false"/>
                <w:color w:val="000000"/>
                <w:sz w:val="10"/>
              </w:rPr>
              <w:t>(4)</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billed rooms for owned lodges</w:t>
            </w:r>
            <w:r>
              <w:rPr>
                <w:color w:val="000000"/>
              </w:rPr>
              <w:t xml:space="preserve"> </w:t>
            </w:r>
            <w:r>
              <w:rPr>
                <w:rFonts w:ascii="Times New Roman;serif" w:hAnsi="Times New Roman;serif"/>
                <w:b w:val="false"/>
                <w:color w:val="000000"/>
                <w:sz w:val="10"/>
              </w:rPr>
              <w:t>(5)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458,020 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449,970 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Canadian dollar to U.S. dollar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Includes revenues related to lodge rooms and hospitality services for owned rooms for the periods presented.</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Includes revenues related to mobile assets for the periods presented.</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Includes revenues related to food services, laundry and water and wastewater treatment services for the periods presented.</w:t>
      </w:r>
    </w:p>
    <w:p>
      <w:pPr>
        <w:pStyle w:val="TextBody"/>
        <w:bidi w:val="0"/>
        <w:spacing w:lineRule="auto" w:line="288" w:before="0" w:after="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 xml:space="preserve">Average daily rate is based on billed rooms and accommodation revenue in our owned lodges. </w:t>
      </w:r>
    </w:p>
    <w:p>
      <w:pPr>
        <w:pStyle w:val="TextBody"/>
        <w:bidi w:val="0"/>
        <w:spacing w:lineRule="auto" w:line="288" w:before="0" w:after="0"/>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 xml:space="preserve">Billed rooms represents total billed days for owned assets for the periods presented. </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Canadian segment reported revenues in the second quarter of 2026 that were $4.5 million, or 9%, higher than the second quarter of 2025. The increase in the Canadian segment was driven by higher billed rooms at our lodges, up 2% year-over-year, and a new integrated services contract in Ontario in the second quarter of 2026. Producers in the region remain focused on reducing operating costs while also prioritizing maintaining and increasing oil production, resulting in additional personnel at site.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Canadian segment cost of sales and services increased $5.2 million, or 13%, in the second quarter of 2026 compared to the second quarter of 2025. The increase in cost of sales and services in the Canadian segment was largely driven by higher costs at various lodges due to increased occupancy levels, higher food and service costs resulting from inflation, increased repairs and maintenance expense and higher costs associated with a new integrated services contract. These increases were partially offset by lower costs at certain lodges and reduced indirect costs resulting from cost reduction measures implemented in early 2025.</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Canadian segment gross margin as a percentage of revenues decreased from 22.0% in the second quarter of 2025 to 18.9% in the second quarter of 2026. This was primarily driven by increased startup costs associated with a new integrated services contract, higher inflation and increased repairs and maintenance expense, partially offset by efficiencies while operating with increased occupancy levels.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160" w:after="160"/>
        <w:jc w:val="both"/>
        <w:rPr/>
      </w:pPr>
      <w:r>
        <w:rPr/>
      </w:r>
    </w:p>
    <w:p>
      <w:pPr>
        <w:pStyle w:val="TextBody"/>
        <w:bidi w:val="0"/>
        <w:spacing w:lineRule="auto" w:line="276" w:before="0" w:after="0"/>
        <w:jc w:val="left"/>
        <w:rPr/>
      </w:pPr>
      <w:r>
        <w:rPr>
          <w:rFonts w:ascii="Times New Roman;serif" w:hAnsi="Times New Roman;serif"/>
          <w:b/>
          <w:i/>
          <w:color w:val="000000"/>
          <w:sz w:val="20"/>
        </w:rPr>
        <w:t>Results of Operations</w:t>
      </w:r>
      <w:r>
        <w:rPr>
          <w:color w:val="000000"/>
        </w:rPr>
        <w:t xml:space="preserve"> – </w:t>
      </w:r>
      <w:r>
        <w:rPr>
          <w:rFonts w:ascii="Times New Roman;serif" w:hAnsi="Times New Roman;serif"/>
          <w:b/>
          <w:i/>
          <w:color w:val="000000"/>
          <w:sz w:val="20"/>
        </w:rPr>
        <w:t>Six Months Ended June 30, 2026</w:t>
      </w:r>
      <w:r>
        <w:rPr>
          <w:color w:val="000000"/>
        </w:rPr>
        <w:t xml:space="preserve"> </w:t>
      </w:r>
      <w:r>
        <w:rPr>
          <w:rFonts w:ascii="Times New Roman;serif" w:hAnsi="Times New Roman;serif"/>
          <w:b/>
          <w:i/>
          <w:color w:val="000000"/>
          <w:sz w:val="20"/>
        </w:rPr>
        <w:t xml:space="preserve">Compared to Six Months Ended June 30, 2025 </w:t>
      </w:r>
    </w:p>
    <w:p>
      <w:pPr>
        <w:pStyle w:val="TextBody"/>
        <w:bidi w:val="0"/>
        <w:spacing w:lineRule="auto" w:line="288" w:before="0" w:after="0"/>
        <w:ind w:left="0" w:right="0" w:firstLine="180"/>
        <w:jc w:val="left"/>
        <w:rPr>
          <w:color w:val="000000"/>
        </w:rPr>
      </w:pPr>
      <w:r>
        <w:rPr>
          <w:color w:val="000000"/>
        </w:rPr>
        <w:t> </w:t>
      </w:r>
    </w:p>
    <w:tbl>
      <w:tblPr>
        <w:tblW w:w="8081" w:type="dxa"/>
        <w:jc w:val="center"/>
        <w:tblInd w:w="0" w:type="dxa"/>
        <w:tblLayout w:type="fixed"/>
        <w:tblCellMar>
          <w:top w:w="28" w:type="dxa"/>
          <w:left w:w="28" w:type="dxa"/>
          <w:bottom w:w="28" w:type="dxa"/>
          <w:right w:w="28" w:type="dxa"/>
        </w:tblCellMar>
      </w:tblPr>
      <w:tblGrid>
        <w:gridCol w:w="1577"/>
        <w:gridCol w:w="1380"/>
        <w:gridCol w:w="1392"/>
        <w:gridCol w:w="196"/>
        <w:gridCol w:w="736"/>
        <w:gridCol w:w="109"/>
        <w:gridCol w:w="109"/>
        <w:gridCol w:w="109"/>
        <w:gridCol w:w="109"/>
        <w:gridCol w:w="196"/>
        <w:gridCol w:w="736"/>
        <w:gridCol w:w="109"/>
        <w:gridCol w:w="109"/>
        <w:gridCol w:w="109"/>
        <w:gridCol w:w="109"/>
        <w:gridCol w:w="196"/>
        <w:gridCol w:w="646"/>
        <w:gridCol w:w="154"/>
      </w:tblGrid>
      <w:tr>
        <w:trPr/>
        <w:tc>
          <w:tcPr>
            <w:tcW w:w="157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 thousands)</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Australia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Canada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352,684 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306,738 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45,946 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Costs and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and services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Australia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Canada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 of sales and services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271,117 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236,146 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34,971 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(income)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costs and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344,469 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309,454 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35,015 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(expense)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Income tax expense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income (loss) attributable to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Civeo Corporation</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center"/>
        <w:rPr>
          <w:color w:val="000000"/>
        </w:rPr>
      </w:pPr>
      <w:r>
        <w:rPr>
          <w:color w:val="000000"/>
        </w:rPr>
        <w:t> </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reported net loss attributable to Civeo for the six months ended June 30, 2026 of $6.3 million, or $0.57 per diluted share. Net loss included $1.5 million related to the resolution of a sales and occupancy tax matter, $1.0 million in severance, $0.6 million related to real estate rationalization efforts in Canada and $0.5 million of shareholder activist related costs.</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reported net loss attributable to Civeo for the six months ended June 30, 2025 of $13.2 million, or $0.98 per diluted share. Net loss included $3.2 million of shareholder activist related costs and $1.4 million of cost saving initiatives in Canada related to severance and two lodge closures.</w:t>
      </w:r>
    </w:p>
    <w:p>
      <w:pPr>
        <w:pStyle w:val="TextBody"/>
        <w:bidi w:val="0"/>
        <w:spacing w:lineRule="auto" w:line="268" w:before="0" w:after="0"/>
        <w:ind w:left="0" w:right="0" w:firstLine="540"/>
        <w:jc w:val="both"/>
        <w:rPr/>
      </w:pPr>
      <w:r>
        <w:rPr>
          <w:rFonts w:ascii="Times New Roman;serif" w:hAnsi="Times New Roman;serif"/>
          <w:b/>
          <w:color w:val="000000"/>
          <w:sz w:val="20"/>
        </w:rPr>
        <w:t>Revenues.</w:t>
      </w:r>
      <w:r>
        <w:rPr>
          <w:color w:val="000000"/>
        </w:rPr>
        <w:t xml:space="preserve"> </w:t>
      </w:r>
      <w:r>
        <w:rPr>
          <w:rFonts w:ascii="Times New Roman;serif" w:hAnsi="Times New Roman;serif"/>
          <w:b w:val="false"/>
          <w:color w:val="000000"/>
          <w:sz w:val="20"/>
        </w:rPr>
        <w:t>Consolidated revenues increased $45.9 million, or 15%, in the six months ended June 30, 2026 compared to the six months ended June 30, 2025. This increase was primarily driven by (i) new integrated services business in Queensland and Canada, (ii) contributions in Australia from the Qantac Acquisition in the second quarter of 2025, (iii) higher billed rooms at our owned lodges in Canada and (iv) a stronger Australian and Canadian dollar relative to the U.S. dollar in the six months ended June 30, 2026 compared to the six months ended June 30, 2025. These increases were partially offset by reduced occupancy at our legacy Bowen Basin villages in Queensland. See the discussion of segment results of operations below for further information.</w:t>
      </w:r>
    </w:p>
    <w:p>
      <w:pPr>
        <w:pStyle w:val="TextBody"/>
        <w:bidi w:val="0"/>
        <w:spacing w:before="0" w:after="0"/>
        <w:jc w:val="both"/>
        <w:rPr/>
      </w:pPr>
      <w:r>
        <w:rPr/>
      </w:r>
    </w:p>
    <w:p>
      <w:pPr>
        <w:pStyle w:val="TextBody"/>
        <w:bidi w:val="0"/>
        <w:spacing w:lineRule="auto" w:line="268" w:before="0" w:after="0"/>
        <w:ind w:left="0" w:right="0" w:firstLine="540"/>
        <w:jc w:val="both"/>
        <w:rPr/>
      </w:pPr>
      <w:r>
        <w:rPr>
          <w:rFonts w:ascii="Times New Roman;serif" w:hAnsi="Times New Roman;serif"/>
          <w:b/>
          <w:color w:val="000000"/>
          <w:sz w:val="20"/>
        </w:rPr>
        <w:t>Cost of Sales and Services.</w:t>
      </w:r>
      <w:r>
        <w:rPr>
          <w:color w:val="000000"/>
        </w:rPr>
        <w:t xml:space="preserve"> </w:t>
      </w:r>
      <w:r>
        <w:rPr>
          <w:rFonts w:ascii="Times New Roman;serif" w:hAnsi="Times New Roman;serif"/>
          <w:b w:val="false"/>
          <w:color w:val="000000"/>
          <w:sz w:val="20"/>
        </w:rPr>
        <w:t>Our consolidated cost of sales and services increased $35.0 million, or 15%, in the six months ended June 30, 2026 compared to the six months ended June 30, 2025. This increase was primarily driven by (i) new integrated services business in Queensland and Canada, including the associated overhead costs, (ii) incremental costs in Australia associated with the Qantac Acquisition in the second quarter of 2025, (iii) increased occupancy levels, higher food and service costs resulting from inflation and increased repairs and maintenance expense in Canada and (iv) a stronger Australian and Canadian dollar relative to the U.S. dollar in the six months ended June 30, 2026 compared to the six months ended June 30, 2025. These items were partially offset by lower costs at certain Canadian lodges and reduced indirect costs resulting from cost reduction measures implemented in early 2025. See the discussion of segment results of operations below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160" w:after="160"/>
        <w:jc w:val="both"/>
        <w:rPr/>
      </w:pPr>
      <w:r>
        <w:rPr/>
      </w:r>
    </w:p>
    <w:p>
      <w:pPr>
        <w:pStyle w:val="TextBody"/>
        <w:bidi w:val="0"/>
        <w:spacing w:lineRule="auto" w:line="288" w:before="160" w:after="160"/>
        <w:ind w:left="0" w:right="0" w:firstLine="540"/>
        <w:jc w:val="both"/>
        <w:rPr/>
      </w:pPr>
      <w:r>
        <w:rPr>
          <w:rFonts w:ascii="Times New Roman;serif" w:hAnsi="Times New Roman;serif"/>
          <w:b/>
          <w:color w:val="000000"/>
          <w:sz w:val="20"/>
        </w:rPr>
        <w:t>Selling, General and Administrative Expenses.</w:t>
      </w:r>
      <w:r>
        <w:rPr>
          <w:color w:val="000000"/>
        </w:rPr>
        <w:t xml:space="preserve"> </w:t>
      </w:r>
      <w:r>
        <w:rPr>
          <w:rFonts w:ascii="Times New Roman;serif" w:hAnsi="Times New Roman;serif"/>
          <w:b w:val="false"/>
          <w:color w:val="000000"/>
          <w:sz w:val="20"/>
        </w:rPr>
        <w:t>Selling, general and administrative (SG&amp;A) expenses increased $1.8 million, or 5%, in the six months ended June 30, 2026 compared to the six months ended June 30, 2025. This increase was primarily driven by $1.5 million related to the resolution of a sales and occupancy tax matter, higher compensation expense of $1.2 million, largely due to severance costs incurred in Canada, the write-off of accounts receivable in Australia due to customer insolvency of $0.8 million, higher share-based compensation expense of $0.7 million and a stronger Australian and Canadian dollar relative to the U.S. dollar in the six months ended June 30, 2026 compared to the six months ended June 30, 2025. These increases were partially offset by a $3.7 million reduction in professional fees, including $3.2 million of shareholder activist related costs incurred in the six months ended June 30, 2025.</w:t>
      </w:r>
    </w:p>
    <w:p>
      <w:pPr>
        <w:pStyle w:val="TextBody"/>
        <w:bidi w:val="0"/>
        <w:spacing w:lineRule="auto" w:line="288" w:before="160" w:after="160"/>
        <w:ind w:left="0" w:right="0" w:firstLine="540"/>
        <w:jc w:val="both"/>
        <w:rPr/>
      </w:pPr>
      <w:r>
        <w:rPr>
          <w:rFonts w:ascii="Times New Roman;serif" w:hAnsi="Times New Roman;serif"/>
          <w:b/>
          <w:color w:val="000000"/>
          <w:sz w:val="20"/>
        </w:rPr>
        <w:t>Depreciation and Amortization Expense.</w:t>
      </w:r>
      <w:r>
        <w:rPr>
          <w:color w:val="000000"/>
        </w:rPr>
        <w:t xml:space="preserve"> </w:t>
      </w:r>
      <w:r>
        <w:rPr>
          <w:rFonts w:ascii="Times New Roman;serif" w:hAnsi="Times New Roman;serif"/>
          <w:b w:val="false"/>
          <w:color w:val="000000"/>
          <w:sz w:val="20"/>
        </w:rPr>
        <w:t xml:space="preserve">Depreciation and amortization expense decreased $0.4 million, or 1%, in the six months ended June 30, 2026 compared to the six months ended June 30, 2025. The decrease was primarily due to certain assets becoming fully depreciated in Canada and Australia. This decrease was partially offset by additional depreciation on property, plant and equipment acquired in the Qantac Acquisition and a stronger Australian and Canadian dollar relative to the U.S. dollar in the six months ended June 30, 2026 compared to the six months ended June 30, 2025. </w:t>
      </w:r>
    </w:p>
    <w:p>
      <w:pPr>
        <w:pStyle w:val="TextBody"/>
        <w:bidi w:val="0"/>
        <w:spacing w:lineRule="auto" w:line="288" w:before="160" w:after="160"/>
        <w:ind w:left="0" w:right="0" w:firstLine="540"/>
        <w:jc w:val="both"/>
        <w:rPr/>
      </w:pPr>
      <w:r>
        <w:rPr>
          <w:rFonts w:ascii="Times New Roman;serif" w:hAnsi="Times New Roman;serif"/>
          <w:b/>
          <w:color w:val="000000"/>
          <w:sz w:val="20"/>
        </w:rPr>
        <w:t>Operating Income (Expense).</w:t>
      </w:r>
      <w:r>
        <w:rPr>
          <w:color w:val="000000"/>
        </w:rPr>
        <w:t xml:space="preserve"> </w:t>
      </w:r>
      <w:r>
        <w:rPr>
          <w:rFonts w:ascii="Times New Roman;serif" w:hAnsi="Times New Roman;serif"/>
          <w:b w:val="false"/>
          <w:color w:val="000000"/>
          <w:sz w:val="20"/>
        </w:rPr>
        <w:t>Consolidated operating income increased $10.9 million, or 402%, in the six months ended June 30, 2026 compared to the six months ended June 30, 2025, primarily driven by the Qantac Acquisition in Australia, higher activity levels in Canada and gross margin expansion in Canada resulting from cost cutting measures previously implemented.</w:t>
      </w:r>
    </w:p>
    <w:p>
      <w:pPr>
        <w:pStyle w:val="TextBody"/>
        <w:bidi w:val="0"/>
        <w:spacing w:lineRule="auto" w:line="288" w:before="160" w:after="160"/>
        <w:ind w:left="0" w:right="0" w:firstLine="540"/>
        <w:jc w:val="both"/>
        <w:rPr/>
      </w:pPr>
      <w:r>
        <w:rPr>
          <w:rFonts w:ascii="Times New Roman;serif" w:hAnsi="Times New Roman;serif"/>
          <w:b/>
          <w:color w:val="000000"/>
          <w:sz w:val="20"/>
        </w:rPr>
        <w:t>Interest Expense, net.</w:t>
      </w:r>
      <w:r>
        <w:rPr>
          <w:color w:val="000000"/>
        </w:rPr>
        <w:t xml:space="preserve"> </w:t>
      </w:r>
      <w:r>
        <w:rPr>
          <w:rFonts w:ascii="Times New Roman;serif" w:hAnsi="Times New Roman;serif"/>
          <w:b w:val="false"/>
          <w:color w:val="000000"/>
          <w:sz w:val="20"/>
        </w:rPr>
        <w:t>Net interest expense increased by $3.7 million, or 88%, in the six months ended June 30, 2026 compared to the six months ended June 30, 2025, primarily related to higher average debt levels, as a result of the Qantac Acquisition and increased share repurchases during 2025.</w:t>
      </w:r>
    </w:p>
    <w:p>
      <w:pPr>
        <w:pStyle w:val="TextBody"/>
        <w:bidi w:val="0"/>
        <w:spacing w:lineRule="auto" w:line="288" w:before="160" w:after="160"/>
        <w:ind w:left="0" w:right="0" w:firstLine="540"/>
        <w:jc w:val="both"/>
        <w:rPr/>
      </w:pPr>
      <w:r>
        <w:rPr>
          <w:rFonts w:ascii="Times New Roman;serif" w:hAnsi="Times New Roman;serif"/>
          <w:b/>
          <w:color w:val="000000"/>
          <w:sz w:val="20"/>
        </w:rPr>
        <w:t>Income Tax Expense.</w:t>
      </w:r>
      <w:r>
        <w:rPr>
          <w:color w:val="000000"/>
        </w:rPr>
        <w:t xml:space="preserve"> </w:t>
      </w:r>
      <w:r>
        <w:rPr>
          <w:rFonts w:ascii="Times New Roman;serif" w:hAnsi="Times New Roman;serif"/>
          <w:b w:val="false"/>
          <w:color w:val="000000"/>
          <w:sz w:val="20"/>
        </w:rPr>
        <w:t xml:space="preserve">Our income tax expense for the six months ended June 30, 2026 totaled $6.7 million, or 1926.6% of pretax income, compared to an income tax expense of $6.7 million or (103.5)% of pretax loss, for the six months ended June 30, 2025. Our effective tax rate for the six months ended June 30, 2026 and 2025 was impacted by Canada and the U.S. being considered loss jurisdictions that were removed from the annual effective tax rate computation for purposes of computing the interim tax provision. </w:t>
      </w:r>
    </w:p>
    <w:p>
      <w:pPr>
        <w:pStyle w:val="TextBody"/>
        <w:bidi w:val="0"/>
        <w:spacing w:lineRule="auto" w:line="288" w:before="0" w:after="0"/>
        <w:ind w:left="0" w:right="0" w:firstLine="540"/>
        <w:jc w:val="both"/>
        <w:rPr/>
      </w:pPr>
      <w:r>
        <w:rPr>
          <w:rFonts w:ascii="Times New Roman;serif" w:hAnsi="Times New Roman;serif"/>
          <w:b/>
          <w:color w:val="000000"/>
          <w:sz w:val="20"/>
        </w:rPr>
        <w:t>Other Comprehensive</w:t>
      </w:r>
      <w:r>
        <w:rPr>
          <w:color w:val="000000"/>
        </w:rPr>
        <w:t xml:space="preserve"> </w:t>
      </w:r>
      <w:r>
        <w:rPr>
          <w:rFonts w:ascii="Times New Roman;serif" w:hAnsi="Times New Roman;serif"/>
          <w:b/>
          <w:color w:val="000000"/>
          <w:sz w:val="20"/>
        </w:rPr>
        <w:t>Income (Loss).</w:t>
      </w:r>
      <w:r>
        <w:rPr>
          <w:color w:val="000000"/>
        </w:rPr>
        <w:t xml:space="preserve"> </w:t>
      </w:r>
      <w:r>
        <w:rPr>
          <w:rFonts w:ascii="Times New Roman;serif" w:hAnsi="Times New Roman;serif"/>
          <w:b w:val="false"/>
          <w:color w:val="000000"/>
          <w:sz w:val="20"/>
        </w:rPr>
        <w:t>Other comprehensive income decreased $6.5 million in the six months ended June 30, 2026 compared to the six months ended June 30, 2025, primarily as a result of foreign currency translation adjustments due to changes in the Australian and Canadian dollar exchange rates compared to the U.S. dollar. The Australian dollar exchange rate compared to the U.S. dollar increased 4% in the six months ended June 30, 2026 compared to a 6% increase in the six months ended June 30, 2025. The Canadian dollar exchange rate compared to the U.S. dollar decreased 4% in the six months ended June 30, 2026 compared to a 5% increase in the six months ended June 30, 2025.</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160" w:after="160"/>
        <w:jc w:val="both"/>
        <w:rPr/>
      </w:pPr>
      <w:r>
        <w:rPr/>
      </w:r>
    </w:p>
    <w:p>
      <w:pPr>
        <w:pStyle w:val="TextBody"/>
        <w:bidi w:val="0"/>
        <w:spacing w:lineRule="auto" w:line="276" w:before="0" w:after="0"/>
        <w:jc w:val="left"/>
        <w:rPr/>
      </w:pPr>
      <w:r>
        <w:rPr>
          <w:rFonts w:ascii="Times New Roman;serif" w:hAnsi="Times New Roman;serif"/>
          <w:b/>
          <w:i/>
          <w:color w:val="000000"/>
          <w:sz w:val="20"/>
        </w:rPr>
        <w:t>Segment Results of Operations</w:t>
      </w:r>
      <w:r>
        <w:rPr>
          <w:color w:val="000000"/>
        </w:rPr>
        <w:t xml:space="preserve"> – </w:t>
      </w:r>
      <w:r>
        <w:rPr>
          <w:rFonts w:ascii="Times New Roman;serif" w:hAnsi="Times New Roman;serif"/>
          <w:b/>
          <w:i/>
          <w:color w:val="000000"/>
          <w:sz w:val="20"/>
        </w:rPr>
        <w:t>Australian</w:t>
      </w:r>
      <w:r>
        <w:rPr>
          <w:color w:val="000000"/>
        </w:rPr>
        <w:t xml:space="preserve"> </w:t>
      </w:r>
      <w:r>
        <w:rPr>
          <w:rFonts w:ascii="Times New Roman;serif" w:hAnsi="Times New Roman;serif"/>
          <w:b/>
          <w:i/>
          <w:color w:val="000000"/>
          <w:sz w:val="20"/>
        </w:rPr>
        <w:t>Segment</w:t>
      </w:r>
    </w:p>
    <w:tbl>
      <w:tblPr>
        <w:tblW w:w="7788" w:type="dxa"/>
        <w:jc w:val="center"/>
        <w:tblInd w:w="0" w:type="dxa"/>
        <w:tblLayout w:type="fixed"/>
        <w:tblCellMar>
          <w:top w:w="28" w:type="dxa"/>
          <w:left w:w="28" w:type="dxa"/>
          <w:bottom w:w="28" w:type="dxa"/>
          <w:right w:w="28" w:type="dxa"/>
        </w:tblCellMar>
      </w:tblPr>
      <w:tblGrid>
        <w:gridCol w:w="1327"/>
        <w:gridCol w:w="1164"/>
        <w:gridCol w:w="1169"/>
        <w:gridCol w:w="196"/>
        <w:gridCol w:w="736"/>
        <w:gridCol w:w="241"/>
        <w:gridCol w:w="109"/>
        <w:gridCol w:w="109"/>
        <w:gridCol w:w="109"/>
        <w:gridCol w:w="196"/>
        <w:gridCol w:w="736"/>
        <w:gridCol w:w="241"/>
        <w:gridCol w:w="109"/>
        <w:gridCol w:w="109"/>
        <w:gridCol w:w="109"/>
        <w:gridCol w:w="196"/>
        <w:gridCol w:w="646"/>
        <w:gridCol w:w="286"/>
      </w:tblGrid>
      <w:tr>
        <w:trPr/>
        <w:tc>
          <w:tcPr>
            <w:tcW w:w="132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 in thousands)</w:t>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Accommodation and associated services revenue </w:t>
            </w:r>
            <w:r>
              <w:rPr>
                <w:rFonts w:ascii="Times New Roman;serif" w:hAnsi="Times New Roman;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Integrated services and other services revenue</w:t>
            </w:r>
            <w:r>
              <w:rPr>
                <w:color w:val="000000"/>
              </w:rPr>
              <w:t xml:space="preserve"> </w:t>
            </w:r>
            <w:r>
              <w:rPr>
                <w:rFonts w:ascii="Times New Roman;serif" w:hAnsi="Times New Roman;serif"/>
                <w:b w:val="false"/>
                <w:color w:val="000000"/>
                <w:sz w:val="10"/>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18,472 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248,464 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216,318 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32,146 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and services ($ in thousands)</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Accommodation and associated services cost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Integrated services and other services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103,814 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Indirect other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 of sales and services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186,582 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159,197 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27,385 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margin as a %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Average daily rate for owned villages</w:t>
            </w:r>
            <w:r>
              <w:rPr>
                <w:color w:val="000000"/>
              </w:rPr>
              <w:t xml:space="preserve"> </w:t>
            </w:r>
            <w:r>
              <w:rPr>
                <w:rFonts w:ascii="Times New Roman;serif" w:hAnsi="Times New Roman;serif"/>
                <w:b w:val="false"/>
                <w:color w:val="000000"/>
                <w:sz w:val="10"/>
              </w:rPr>
              <w:t>(3)</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billed rooms for owned villages</w:t>
            </w:r>
            <w:r>
              <w:rPr>
                <w:color w:val="000000"/>
              </w:rPr>
              <w:t xml:space="preserve"> </w:t>
            </w:r>
            <w:r>
              <w:rPr>
                <w:rFonts w:ascii="Times New Roman;serif" w:hAnsi="Times New Roman;serif"/>
                <w:b w:val="false"/>
                <w:color w:val="000000"/>
                <w:sz w:val="10"/>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1,350,008 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1,316,142 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Australian dollar to U.S. dollar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Includes revenues related to village rooms and hospitality services for owned rooms for the periods presented.</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Includes revenues related to food services and other services, including facilities management for the periods presented.</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Average daily rate is based on billed rooms and accommodation revenue in our owned villages.</w:t>
      </w:r>
    </w:p>
    <w:p>
      <w:pPr>
        <w:pStyle w:val="TextBody"/>
        <w:bidi w:val="0"/>
        <w:spacing w:lineRule="auto" w:line="288" w:before="0" w:after="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Billed rooms represent total billed days for owned assets for the periods presented.</w:t>
      </w:r>
    </w:p>
    <w:p>
      <w:pPr>
        <w:pStyle w:val="TextBody"/>
        <w:bidi w:val="0"/>
        <w:spacing w:before="0" w:after="0"/>
        <w:ind w:left="0" w:right="0" w:hanging="360"/>
        <w:jc w:val="left"/>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0"/>
        </w:rPr>
        <w:t>Our Australian segment reported revenues in the six months ended June 30, 2026 that were $32.1 million, or 15%, higher than the six months ended June 30, 2025.</w:t>
      </w:r>
      <w:r>
        <w:rPr>
          <w:color w:val="EE2724"/>
        </w:rPr>
        <w:t xml:space="preserve"> </w:t>
      </w:r>
      <w:r>
        <w:rPr>
          <w:rFonts w:ascii="Times New Roman;serif" w:hAnsi="Times New Roman;serif"/>
          <w:b w:val="false"/>
          <w:color w:val="000000"/>
          <w:sz w:val="20"/>
        </w:rPr>
        <w:t>The strengthening of the average exchange rate for the Australian dollar relative to the U.S. dollar by 10.9% in the six months ended June 30, 2026 compared to the six months ended June 30, 2025 resulted in a $24.2 million period-over-period increase in revenues.</w:t>
      </w:r>
      <w:r>
        <w:rPr>
          <w:color w:val="EE2724"/>
        </w:rPr>
        <w:t xml:space="preserve"> </w:t>
      </w:r>
      <w:r>
        <w:rPr>
          <w:rFonts w:ascii="Times New Roman;serif" w:hAnsi="Times New Roman;serif"/>
          <w:b w:val="false"/>
          <w:color w:val="000000"/>
          <w:sz w:val="20"/>
        </w:rPr>
        <w:t>On a constant currency basis, the Australian segment experienced a 3.7% period-over-period increase in revenues. Excluding the impact of the strengthening Australian exchange rate, the increase in the Australian segment was driven by the new integrated services business in Queensland and the Qantac Acquisition in the second quarter of 2025, partially offset by reduced occupancy at our legacy Bowen Basin villages in Queensland.</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Australian segment cost of sales and services increased $27.4 million, or 17%, in the six months ended June 30, 2026 compared to the six months ended June 30, 2025. The strengthening of the average exchange rate for the Australian dollar relative to the U.S. dollar by 10.9% in the six months ended June 30, 2026 compared to the six months ended June 30, 2025 resulted in a $18.2 million period-over-period increase in cost of sales and services. Excluding the impact of the strengthening Australian exchange rate, the increase in cost of sales and services in the Australian segment was largely driven by the Qantac Acquisition and new integrated services business in Queensland, including the associated overhead costs.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Australian segment gross margin as a percentage of revenues decreased to 24.9% in the six months ended June 30, 2026 from 26.4% in the six months ended June 30, 2025. This was primarily driven by reduced activity at our Bowen Basin villages in Queensland, reduced retail sales across our integrated services business and increased operating costs arising from the ongoing industry-wide shortages of skilled labor. The reduced segment gross margin was also due to higher relative revenue contribution from our integrated services business, which has a service-only business model and generates lower overall gross margins than our accommodation business.</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160" w:after="160"/>
        <w:jc w:val="both"/>
        <w:rPr/>
      </w:pPr>
      <w:r>
        <w:rPr/>
      </w:r>
    </w:p>
    <w:p>
      <w:pPr>
        <w:pStyle w:val="TextBody"/>
        <w:bidi w:val="0"/>
        <w:spacing w:lineRule="auto" w:line="288" w:before="0" w:after="0"/>
        <w:jc w:val="left"/>
        <w:rPr/>
      </w:pPr>
      <w:r>
        <w:rPr>
          <w:rFonts w:ascii="Times New Roman;serif" w:hAnsi="Times New Roman;serif"/>
          <w:b/>
          <w:i/>
          <w:color w:val="000000"/>
          <w:sz w:val="20"/>
        </w:rPr>
        <w:t>Segment Results of Operations</w:t>
      </w:r>
      <w:r>
        <w:rPr>
          <w:color w:val="000000"/>
        </w:rPr>
        <w:t xml:space="preserve"> – </w:t>
      </w:r>
      <w:r>
        <w:rPr>
          <w:rFonts w:ascii="Times New Roman;serif" w:hAnsi="Times New Roman;serif"/>
          <w:b/>
          <w:i/>
          <w:color w:val="000000"/>
          <w:sz w:val="20"/>
        </w:rPr>
        <w:t>Canadian Segment</w:t>
      </w:r>
    </w:p>
    <w:tbl>
      <w:tblPr>
        <w:tblW w:w="7998" w:type="dxa"/>
        <w:jc w:val="center"/>
        <w:tblInd w:w="0" w:type="dxa"/>
        <w:tblLayout w:type="fixed"/>
        <w:tblCellMar>
          <w:top w:w="28" w:type="dxa"/>
          <w:left w:w="28" w:type="dxa"/>
          <w:bottom w:w="28" w:type="dxa"/>
          <w:right w:w="28" w:type="dxa"/>
        </w:tblCellMar>
      </w:tblPr>
      <w:tblGrid>
        <w:gridCol w:w="1436"/>
        <w:gridCol w:w="1259"/>
        <w:gridCol w:w="1265"/>
        <w:gridCol w:w="196"/>
        <w:gridCol w:w="736"/>
        <w:gridCol w:w="241"/>
        <w:gridCol w:w="109"/>
        <w:gridCol w:w="109"/>
        <w:gridCol w:w="109"/>
        <w:gridCol w:w="196"/>
        <w:gridCol w:w="646"/>
        <w:gridCol w:w="241"/>
        <w:gridCol w:w="109"/>
        <w:gridCol w:w="109"/>
        <w:gridCol w:w="109"/>
        <w:gridCol w:w="196"/>
        <w:gridCol w:w="646"/>
        <w:gridCol w:w="286"/>
      </w:tblGrid>
      <w:tr>
        <w:trPr/>
        <w:tc>
          <w:tcPr>
            <w:tcW w:w="143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 in thousands)</w:t>
            </w:r>
          </w:p>
        </w:tc>
        <w:tc>
          <w:tcPr>
            <w:tcW w:w="117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Accommodation and associated services revenue </w:t>
            </w:r>
            <w:r>
              <w:rPr>
                <w:rFonts w:ascii="Times New Roman;serif" w:hAnsi="Times New Roman;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Mobile facility rental and associated services revenue </w:t>
            </w:r>
            <w:r>
              <w:rPr>
                <w:rFonts w:ascii="Times New Roman;serif" w:hAnsi="Times New Roman;serif"/>
                <w:b w:val="false"/>
                <w:color w:val="000000"/>
                <w:sz w:val="10"/>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Integrated services and other services revenue</w:t>
            </w:r>
            <w:r>
              <w:rPr>
                <w:color w:val="000000"/>
              </w:rPr>
              <w:t xml:space="preserve"> </w:t>
            </w:r>
            <w:r>
              <w:rPr>
                <w:rFonts w:ascii="Times New Roman;serif" w:hAnsi="Times New Roman;serif"/>
                <w:b w:val="false"/>
                <w:color w:val="000000"/>
                <w:sz w:val="10"/>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104,220 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90,420 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13,800 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and services ($ in thousands)</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Accommodation and associated services cost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Mobile facility rental and associated services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Integrated services and other services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Indirect other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 of sales and services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84,285 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76,682 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7,603 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margin as a %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Average daily rate for owned lodges</w:t>
            </w:r>
            <w:r>
              <w:rPr>
                <w:color w:val="000000"/>
              </w:rPr>
              <w:t xml:space="preserve"> </w:t>
            </w:r>
            <w:r>
              <w:rPr>
                <w:rFonts w:ascii="Times New Roman;serif" w:hAnsi="Times New Roman;serif"/>
                <w:b w:val="false"/>
                <w:color w:val="000000"/>
                <w:sz w:val="10"/>
              </w:rPr>
              <w:t>(4)</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billed rooms for owned lodges</w:t>
            </w:r>
            <w:r>
              <w:rPr>
                <w:color w:val="000000"/>
              </w:rPr>
              <w:t xml:space="preserve"> </w:t>
            </w:r>
            <w:r>
              <w:rPr>
                <w:rFonts w:ascii="Times New Roman;serif" w:hAnsi="Times New Roman;serif"/>
                <w:b w:val="false"/>
                <w:color w:val="000000"/>
                <w:sz w:val="10"/>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891,610 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808,667 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Canadian dollar to U.S. dollar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Includes revenues related to lodge rooms and hospitality services for owned rooms for the periods presented.</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Includes revenues related to mobile assets for the periods presented.</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Includes revenues related to food services, laundry and water and wastewater treatment services for the periods presented.</w:t>
      </w:r>
    </w:p>
    <w:p>
      <w:pPr>
        <w:pStyle w:val="TextBody"/>
        <w:bidi w:val="0"/>
        <w:spacing w:lineRule="auto" w:line="288" w:before="0" w:after="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 xml:space="preserve">Average daily rate is based on billed rooms and accommodation revenue in our owned lodges. </w:t>
      </w:r>
    </w:p>
    <w:p>
      <w:pPr>
        <w:pStyle w:val="TextBody"/>
        <w:bidi w:val="0"/>
        <w:spacing w:lineRule="auto" w:line="288" w:before="0" w:after="0"/>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 xml:space="preserve">Billed rooms represents total billed days for owned assets for the periods presented. </w:t>
      </w:r>
    </w:p>
    <w:p>
      <w:pPr>
        <w:pStyle w:val="TextBody"/>
        <w:bidi w:val="0"/>
        <w:spacing w:before="0" w:after="0"/>
        <w:jc w:val="left"/>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Our Canadian segment reported revenues in the six months ended June 30, 2026 that were $13.8 million, or 15%, higher than the six months ended June 30, 2025. The strengthening of the average exchange rate for the Canadian dollar relative to the U.S. dollar by 2.3% in the six months ended June 30, 2026 compared to the six months ended June 30, 2025 resulted in a $2.3 million period-over-period increase in revenues.</w:t>
      </w:r>
      <w:r>
        <w:rPr>
          <w:color w:val="EE2724"/>
        </w:rPr>
        <w:t xml:space="preserve"> </w:t>
      </w:r>
      <w:r>
        <w:rPr>
          <w:rFonts w:ascii="Times New Roman;serif" w:hAnsi="Times New Roman;serif"/>
          <w:b w:val="false"/>
          <w:color w:val="000000"/>
          <w:sz w:val="20"/>
        </w:rPr>
        <w:t>On a constant currency basis, the increase in the Canadian segment was driven by higher billed rooms at our owned lodges, up 10% year-over-year, and a new integrated services contract in Ontario, which began in the second quarter of 2026. Producers in the region remain focused on reducing operating costs while also prioritizing maintaining and increasing oil production, resulting in additional personnel at site.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Our Canadian segment cost of sales and services increased $7.6 million, or 10%, in the six months ended June 30, 2026 compared to the six months ended June 30, 2025. The strengthening of the average exchange rate for the Canadian dollar relative to the U.S. dollar by 2.3% in the six months ended June 30, 2026 compared to the six months ended June 30, 2025 resulted in a $1.8 million period-over-period increase in cost of sales and services.</w:t>
      </w:r>
      <w:r>
        <w:rPr>
          <w:color w:val="EE2724"/>
        </w:rPr>
        <w:t xml:space="preserve"> </w:t>
      </w:r>
      <w:r>
        <w:rPr>
          <w:rFonts w:ascii="Times New Roman;serif" w:hAnsi="Times New Roman;serif"/>
          <w:b w:val="false"/>
          <w:color w:val="000000"/>
          <w:sz w:val="20"/>
        </w:rPr>
        <w:t>Excluding the impact of the strengthening Canadian exchange rate, the increase in cost of sales and services was largely driven by higher costs at various lodges due to increased occupancy levels, higher food and service costs resulting from inflation, increased repairs and maintenance expense and higher costs associated with a new integrated services contract. These increases were partially offset by lower costs at certain lodges and reduced indirect costs resulting from cost reduction measures implemented in early 2025.</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Canadian segment gross margin as a percentage of revenues increased from 15.2% in the six months ended June 30, 2025 to 19.1% in the six months ended June 30, 2026. This was primarily driven by operating efficiencies while operating with increased occupancy levels, as well as higher margins as a result of various cost reduction measures implemented in early 2025, partially offset by startup costs associated with a new integrated services contract.</w:t>
      </w:r>
    </w:p>
    <w:p>
      <w:pPr>
        <w:pStyle w:val="TextBody"/>
        <w:bidi w:val="0"/>
        <w:spacing w:before="0" w:after="0"/>
        <w:ind w:left="0" w:right="0" w:firstLine="540"/>
        <w:jc w:val="both"/>
        <w:rPr/>
      </w:pPr>
      <w:r>
        <w:rPr/>
      </w:r>
    </w:p>
    <w:p>
      <w:pPr>
        <w:pStyle w:val="TextBody"/>
        <w:bidi w:val="0"/>
        <w:spacing w:before="0" w:after="0"/>
        <w:ind w:left="0" w:right="0" w:firstLine="540"/>
        <w:jc w:val="both"/>
        <w:rPr/>
      </w:pPr>
      <w:r>
        <w:rPr/>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160" w:after="160"/>
        <w:jc w:val="both"/>
        <w:rPr/>
      </w:pPr>
      <w:r>
        <w:rPr/>
      </w:r>
    </w:p>
    <w:p>
      <w:pPr>
        <w:pStyle w:val="TextBody"/>
        <w:bidi w:val="0"/>
        <w:spacing w:lineRule="auto" w:line="276" w:before="0" w:after="0"/>
        <w:jc w:val="both"/>
        <w:rPr/>
      </w:pPr>
      <w:r>
        <w:rPr>
          <w:rFonts w:ascii="Times New Roman;serif" w:hAnsi="Times New Roman;serif"/>
          <w:b/>
          <w:color w:val="000000"/>
          <w:sz w:val="20"/>
        </w:rPr>
        <w:t>Liquidity</w:t>
      </w:r>
      <w:r>
        <w:rPr>
          <w:color w:val="000000"/>
        </w:rPr>
        <w:t xml:space="preserve"> </w:t>
      </w:r>
      <w:r>
        <w:rPr>
          <w:rFonts w:ascii="Times New Roman;serif" w:hAnsi="Times New Roman;serif"/>
          <w:b/>
          <w:color w:val="000000"/>
          <w:sz w:val="20"/>
        </w:rPr>
        <w:t>and</w:t>
      </w:r>
      <w:r>
        <w:rPr>
          <w:color w:val="000000"/>
        </w:rPr>
        <w:t xml:space="preserve"> </w:t>
      </w:r>
      <w:r>
        <w:rPr>
          <w:rFonts w:ascii="Times New Roman;serif" w:hAnsi="Times New Roman;serif"/>
          <w:b/>
          <w:color w:val="000000"/>
          <w:sz w:val="20"/>
        </w:rPr>
        <w:t>Capital Resources</w:t>
      </w:r>
    </w:p>
    <w:p>
      <w:pPr>
        <w:pStyle w:val="TextBody"/>
        <w:bidi w:val="0"/>
        <w:spacing w:before="0" w:after="0"/>
        <w:ind w:left="0" w:right="0" w:firstLine="18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primary liquidity needs are to fund capital expenditures, which in the past have included expanding and improving our hospitality services, developing new lodges and villages and purchasing or leasing land, to repurchase common shares, to pay dividends and for general working capital needs. In addition, capital has been used to repay debt and fund strategic business acquisitions. Historically, our primary sources of funds have been available cash, cash flow from operations, borrowings under our Amended Credit Agreement and proceeds from debt and equity issuances. In the future, we may seek to access the debt and equity capital markets from time to time to raise additional capital, increase liquidity, fund acquisitions or refinance debt.</w:t>
      </w:r>
    </w:p>
    <w:p>
      <w:pPr>
        <w:pStyle w:val="TextBody"/>
        <w:bidi w:val="0"/>
        <w:spacing w:before="0" w:after="0"/>
        <w:ind w:left="0" w:right="0" w:firstLine="45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consolidated liquidity position as of June 30, 2026 and December 31, 2025 (in thousands):</w:t>
      </w:r>
    </w:p>
    <w:tbl>
      <w:tblPr>
        <w:tblW w:w="6221" w:type="dxa"/>
        <w:jc w:val="center"/>
        <w:tblInd w:w="0" w:type="dxa"/>
        <w:tblLayout w:type="fixed"/>
        <w:tblCellMar>
          <w:top w:w="28" w:type="dxa"/>
          <w:left w:w="28" w:type="dxa"/>
          <w:bottom w:w="28" w:type="dxa"/>
          <w:right w:w="28" w:type="dxa"/>
        </w:tblCellMar>
      </w:tblPr>
      <w:tblGrid>
        <w:gridCol w:w="1170"/>
        <w:gridCol w:w="1023"/>
        <w:gridCol w:w="1031"/>
        <w:gridCol w:w="212"/>
        <w:gridCol w:w="796"/>
        <w:gridCol w:w="117"/>
        <w:gridCol w:w="109"/>
        <w:gridCol w:w="109"/>
        <w:gridCol w:w="109"/>
        <w:gridCol w:w="279"/>
        <w:gridCol w:w="1047"/>
        <w:gridCol w:w="219"/>
      </w:tblGrid>
      <w:tr>
        <w:trPr/>
        <w:tc>
          <w:tcPr>
            <w:tcW w:w="117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Lender commitments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285,000 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265,000 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Reduction in availability </w:t>
            </w:r>
            <w:r>
              <w:rPr>
                <w:rFonts w:ascii="Times New Roman;serif" w:hAnsi="Times New Roman;serif"/>
                <w:b w:val="false"/>
                <w:color w:val="000000"/>
                <w:sz w:val="10"/>
              </w:rPr>
              <w:t>(1)</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(13,952)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against revolving credit capacity</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(208,595)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(182,842)</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Outstanding letters of credit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Unused availability</w:t>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61,618 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75,948 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available liquidity</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82,223 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90,387 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As of June 30, 2026 and December 31, 2025, $14.0 million and $5.3 million, respectively, of our borrowing capacity under the Amended Credit Agreement could not be utilized in order to maintain compliance with the maximum leverage ratio financial covenant in the Amended Credit Agreement.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Cash totaling $1.9 million was provided by operations during the six months ended June 30, 2026, compared to $10.8 million used in operations during the six months ended June 30, 2025. Net cash used in working capital was $26.4 million during the six months ended June 30, 2026 compared to net cash used in working capital of $31.3 million during the six months ended June 30, 2025. The year-over-year decrease in cash used in working capital in 2026 compared to 2025 is largely due to lower cash taxes paid in Australia, partially offset by increased accounts receivable balances in Australia and Canada.</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Cash was used in investing activities during the six months ended June 30, 2026 in the amount of $6.6 million, compared to cash used in investing activities during the six months ended June 30, 2025 in the amount of $74.4 million. The decrease was primarily due to the Qantac acquisition completed during 2025. We received net proceeds from the sale of property, plant and equipment of $1.2 million during the six months ended June 30, 2026 compared to $0.3 million during the six months ended June 30, 2025. Capital expenditures totaled $7.8 million and $9.8 million during the six months ended June 30, 2026 and 2025, respectively. Capital expenditures in both periods were primarily related to maintenance.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expect our capital expenditures for 2026 to be in the range of $25 million to $30 million, which excludes any unannounced and uncommitted projects, the spending for which is contingent on obtaining customer contracts or commitments or attractive risk-adjusted economics. Whether planned expenditures will actually be spent in 2026 depends on industry conditions, project approvals and schedules, customer room commitments and project and construction timing. We expect to fund these capital expenditures with available cash, cash flow from operations and revolving credit borrowings under our Amended Credit Agreement. The foregoing capital expenditure forecast does not include any funds for strategic acquisitions, which we could pursue should the transaction economics be attractive enough to us compared to the current capital allocation priorities of returning capital to shareholders. We continue to monitor the global economy, commodity prices, demand for met coal, crude oil, LNG and iron ore, inflation and the resultant impact on the capital spending plans of our customers in order to plan our business activities, and we may adjust our capital expenditure plans in the future.</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Net cash of $11.5 million was provided by financing activities during the six months ended June 30, 2026 primarily due to net borrowings under our revolving credit facilities of $29.6 million, partially offset by repurchases of our common shares of $14.4 million, debt issuance costs of $3.4 million and payments to settle tax obligations on vested shares under our share-based compensation plans of $0.3 million. Net cash of $92.2 million was provided by financing activities during the six months ended June 30, 2025 primarily due to net borrowings under our revolving credit facilities of $119.2 million primarily to fund the Qantac Acquisition and share repurchases, partially offset by repurchases of our common shares of $22.5 million, dividend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160" w:after="1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payments of $3.4 million, payments to settle tax obligations on vested shares under our share-based compensation plans of $0.6 million and debt issuance costs of $0.4 million.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debt outstanding during the six months ended June 30, 2026 (in thousands): </w:t>
      </w:r>
    </w:p>
    <w:tbl>
      <w:tblPr>
        <w:tblW w:w="6172" w:type="dxa"/>
        <w:jc w:val="center"/>
        <w:tblInd w:w="0" w:type="dxa"/>
        <w:tblLayout w:type="fixed"/>
        <w:tblCellMar>
          <w:top w:w="28" w:type="dxa"/>
          <w:left w:w="28" w:type="dxa"/>
          <w:bottom w:w="28" w:type="dxa"/>
          <w:right w:w="28" w:type="dxa"/>
        </w:tblCellMar>
      </w:tblPr>
      <w:tblGrid>
        <w:gridCol w:w="1525"/>
        <w:gridCol w:w="1342"/>
        <w:gridCol w:w="1347"/>
        <w:gridCol w:w="109"/>
        <w:gridCol w:w="109"/>
        <w:gridCol w:w="109"/>
        <w:gridCol w:w="109"/>
        <w:gridCol w:w="109"/>
        <w:gridCol w:w="109"/>
        <w:gridCol w:w="109"/>
        <w:gridCol w:w="109"/>
        <w:gridCol w:w="196"/>
        <w:gridCol w:w="73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revolving credit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borrowings under revolving credit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(393,321)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208,595 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cash on hand and cash flow from operations will be sufficient to meet our anticipated liquidity needs for the next 12 months. If our plans or assumptions change, including as a result of changes in our customers' capital spending or changes in the price of and demand for natural resources, or are inaccurate, or if we make acquisitions, we may need to raise additional capital. Selectively pursuing strategic organic and inorganic growth opportunities that fit with our current capital allocation priorities of returning capital to shareholders has been, and our management believes will continue to be, an element of our long-term business strategy. The timing, size or success of any growth opportunities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March 2025, our Board authorized a common share repurchase program (the Share Repurchase Program) to repurchase up to 10.0% of our total common shares which were issued and outstanding at that date, or approximately 1.4 million common shares over a twelve-month period. In April 2025, our Board authorized an increase to the Share Repurchase Program to repurchase up to 20.0% of our total common shares which are issued and outstanding at that date, or approximately 2.7 million common shares. In March 2026, our Board authorized an additional repurchase authorization of up to 10.0% of our common shares outstanding upon completion of the April 2025 authorization. The Share Repurchase Program (including the additional authorizations in April 2025 and March 2026) does not expire. See Note 11 – Share Repurchase Programs and Dividends to the notes to the unaudited consolidated financial statements included in Item 1 of this quarterly report for further discussion.</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Amended Credit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April 23, 2026, the Credit Agreement was amended and restated (as amended to date, the Amended Credit Agreement) to, among other things:</w:t>
      </w:r>
    </w:p>
    <w:p>
      <w:pPr>
        <w:pStyle w:val="TextBody"/>
        <w:bidi w:val="0"/>
        <w:spacing w:before="0" w:after="0"/>
        <w:ind w:left="0" w:right="0" w:firstLine="54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provide for an increase by $20.0 million of the aggregate revolving loan commitments under the Amended Credit Agreement, to an aggregate maximum principal amount of $285.0 million, allocated as follows: (A) a $10.0 million senior secured revolving credit facility in favor of certain of our U.S. subsidiaries, as borrowers (the U.S. Facility); (B) a $205.0 million senior secured revolving credit facility in favor of Civeo, as borrower (the Canadian Facility); and (C) a $70.0 million senior secured revolving credit facility in favor of one of our Australian subsidiaries, as borrowers;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extend the maturity from August 8, 2028 to April 23, 2030;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provide for other technical changes and amendments to the Credit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we had outstanding letters of credit of zero under the U.S. facility, zero under the Australian facility and $0.8 million under the Canadian facility. We also had outstanding bank guarantees of A$1.4 million under the Australian facility.</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160" w:after="16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7 – Debt to the notes to the unaudited consolidated financial statements included in Item 1 of this quarterly report for further discussion.</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4.50% Convertible Senior Notes</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Subsequent to June 30, 2026, we strengthened our liquidity through the issuance of $115.0 million aggregate principal amount of 4.50% Convertible Senior Notes due 2031 (the Convertible Notes) in a private placement, including the full exercise of the initial purchasers’ option to purchase an additional $15.0 million aggregate principal amount of Convertible Notes. We received approximately $110.8 million in net proceeds, of which approximately $22.3 million was used to repurchase 660,297</w:t>
      </w:r>
      <w:r>
        <w:rPr>
          <w:color w:val="000000"/>
        </w:rPr>
        <w:t xml:space="preserve"> </w:t>
      </w:r>
      <w:r>
        <w:rPr>
          <w:rFonts w:ascii="Times New Roman;serif" w:hAnsi="Times New Roman;serif"/>
          <w:b w:val="false"/>
          <w:color w:val="000000"/>
          <w:sz w:val="20"/>
        </w:rPr>
        <w:t>of our common shares. We used the remainder of the net proceeds from the offering to repay outstanding borrowings under our Amended Credit Agreement. The Convertible Notes bear interest at a rate of 4.50% per annum, payable semi-annually in arrears on February 1 and August 1 of each year, beginning on February 1, 2027. The Convertible Notes will mature on August 1, 2031, unless earlier repurchased or redeemed by us or converted pursuant to their terms. See Note 14 – Subsequent Event to the notes to the unaudited consolidated financial statements included in Item 1 of this quarterly report for further discussion.</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2025, our Board suspended quarterly dividends on our common shares to prioritize returning capital to our shareholders through ongoing share repurchases. The declaration and amount of any potential future dividends will be at the discretion of our Board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deems relevant. In addition, our ability to pay cash dividends on common shares is limited by covenants in the Amended Credit Agreement. Future agreements may also limit our ability to pay dividends, and we may incur incremental taxes if we are required to repatriate foreign earnings to pay such dividends. If any dividends are declared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any dividends in the future.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a discussion of the critical accounting policies and estimates that we use in the preparation of our consolidated financial statements, see “Management’s Discussion and Analysis of Financial Condition and Results of Operations” in our Annual Report on Form 10-K for the year ended December 31, 2025. These estimates require significant judgments, assumptions and estimates. We have discussed the development, selection and disclosure of these critical accounting policies and estimates with the audit committee of our Board. There have been no material changes to the judgments, assumptions and estimates upon which our critical accounting estimates are based.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160" w:after="160"/>
        <w:jc w:val="both"/>
        <w:rPr/>
      </w:pPr>
      <w:r>
        <w:rPr/>
      </w:r>
    </w:p>
    <w:p>
      <w:pPr>
        <w:pStyle w:val="TextBody"/>
        <w:bidi w:val="0"/>
        <w:spacing w:lineRule="auto" w:line="288" w:before="0" w:after="0"/>
        <w:jc w:val="both"/>
        <w:rPr/>
      </w:pPr>
      <w:r>
        <w:rPr>
          <w:rFonts w:ascii="Times New Roman;serif" w:hAnsi="Times New Roman;serif"/>
          <w:b/>
          <w:color w:val="000000"/>
          <w:sz w:val="20"/>
        </w:rPr>
        <w:t>ITEM 3.</w:t>
      </w:r>
      <w:r>
        <w:rPr>
          <w:color w:val="000000"/>
        </w:rPr>
        <w:t xml:space="preserve"> </w:t>
      </w:r>
      <w:r>
        <w:rPr>
          <w:rFonts w:ascii="Times New Roman;serif" w:hAnsi="Times New Roman;serif"/>
          <w:b/>
          <w:i/>
          <w:color w:val="000000"/>
          <w:sz w:val="20"/>
        </w:rPr>
        <w:t>Quantitative and Qualitative Disclosures about Market Risk</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principal market risks are our exposure to changes in interest rates and foreign currency exchange rates.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credit facilities that are subject to the risk of higher interest charges associated with increases in interest rates. As of June 30, 2026, we had $208.6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$2.1 million annually, based on our floating-rate debt obligations and interest rates in effect as of June 30, 2026.</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Foreign Currency Exchange Rate Risk</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pPr>
      <w:r>
        <w:rPr>
          <w:rFonts w:ascii="Times New Roman;serif" w:hAnsi="Times New Roman;serif"/>
          <w:b w:val="false"/>
          <w:color w:val="000000"/>
          <w:sz w:val="20"/>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currencies other than the U.S. dollar, which is our reporting currency, or the functional currency of our subsidiaries, which is not necessarily the U.S. dollar. Excluding intercompany balances, our Australian dollar functional currency net assets totaled approximately A$249 million and our Canadian dollar functional currency net liabilities totaled approximately C$18 million at June 30, 2026.</w:t>
      </w:r>
      <w:r>
        <w:rPr>
          <w:color w:val="000000"/>
        </w:rPr>
        <w:t xml:space="preserve">  </w:t>
      </w:r>
      <w:r>
        <w:rPr>
          <w:rFonts w:ascii="Times New Roman;serif" w:hAnsi="Times New Roman;serif"/>
          <w:b w:val="false"/>
          <w:color w:val="000000"/>
          <w:sz w:val="20"/>
        </w:rPr>
        <w:t>We use a sensitivity analysis model to measure the impact of a 10% adverse movement of foreign currency exchange rates against the U.S. dollar. A hypothetical 10% adverse change in the value of the Australian dollar and Canadian dollar relative to the U.S. dollar as of June 30, 2026 would result in translation adjustments of approximately $25 million and $2 million, respectively, recorded in other comprehensive loss. Although we do not currently have any foreign exchange agreements outstanding, to reduce our exposure to fluctuations in currency exchange rates, we may enter into foreign exchange agreements with financial institutions in the future.</w:t>
      </w:r>
    </w:p>
    <w:p>
      <w:pPr>
        <w:pStyle w:val="TextBody"/>
        <w:bidi w:val="0"/>
        <w:spacing w:lineRule="auto" w:line="288" w:before="0" w:after="0"/>
        <w:ind w:left="0" w:right="0" w:firstLine="54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4.</w:t>
      </w:r>
      <w:r>
        <w:rPr>
          <w:color w:val="000000"/>
        </w:rPr>
        <w:t xml:space="preserve"> </w:t>
      </w:r>
      <w:r>
        <w:rPr>
          <w:rFonts w:ascii="Times New Roman;serif" w:hAnsi="Times New Roman;serif"/>
          <w:b/>
          <w:i/>
          <w:color w:val="000000"/>
          <w:sz w:val="20"/>
        </w:rPr>
        <w:t>Controls and Procedures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June 30, 2026, at the reasonable assurance level.</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there were no changes in our internal control over financial reporting (as defined in Rules 13a-15(f) and 15d-15(f) of the Exchange Act) which have materially affected, or are reasonably likely to materially affect, our internal control over financial reporting.</w:t>
      </w:r>
    </w:p>
    <w:p>
      <w:pPr>
        <w:pStyle w:val="TextBody"/>
        <w:bidi w:val="0"/>
        <w:spacing w:before="0" w:after="0"/>
        <w:ind w:left="0" w:right="0" w:firstLine="54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160" w:after="160"/>
        <w:jc w:val="both"/>
        <w:rPr/>
      </w:pPr>
      <w:r>
        <w:rPr/>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lineRule="auto" w:line="288" w:before="0" w:after="0"/>
        <w:ind w:left="0" w:right="0" w:firstLine="18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1.</w:t>
      </w:r>
      <w:r>
        <w:rPr>
          <w:color w:val="000000"/>
        </w:rPr>
        <w:t xml:space="preserve"> </w:t>
      </w:r>
      <w:r>
        <w:rPr>
          <w:rFonts w:ascii="Times New Roman;serif" w:hAnsi="Times New Roman;serif"/>
          <w:b/>
          <w:i/>
          <w:color w:val="000000"/>
          <w:sz w:val="20"/>
        </w:rPr>
        <w:t>Legal Proceedings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pStyle w:val="TextBody"/>
        <w:bidi w:val="0"/>
        <w:spacing w:lineRule="auto" w:line="288" w:before="0" w:after="0"/>
        <w:ind w:left="0" w:right="0" w:firstLine="54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1A.</w:t>
      </w:r>
      <w:r>
        <w:rPr>
          <w:color w:val="000000"/>
        </w:rPr>
        <w:t xml:space="preserve"> </w:t>
      </w:r>
      <w:r>
        <w:rPr>
          <w:rFonts w:ascii="Times New Roman;serif" w:hAnsi="Times New Roman;serif"/>
          <w:b/>
          <w:i/>
          <w:color w:val="000000"/>
          <w:sz w:val="20"/>
        </w:rPr>
        <w:t>Risk Factors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information set forth in this Quarterly Report on Form 10-Q, including “Management’s Discussion and Analysis of Financial Condition and Results of Operations", you should carefully read and consider “Risk Factors” and “Management's Discussion and Analysis of Financial Condition and Results of Operations” in our Annual Report on Form 10-K for the year ended December 31, 2025, which contains descriptions of significant factors that may cause our future operating results to differ materially from those currently expected.</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2.</w:t>
      </w:r>
      <w:r>
        <w:rPr>
          <w:color w:val="000000"/>
        </w:rPr>
        <w:t xml:space="preserve"> </w:t>
      </w:r>
      <w:r>
        <w:rPr>
          <w:rFonts w:ascii="Times New Roman;serif" w:hAnsi="Times New Roman;serif"/>
          <w:b/>
          <w:i/>
          <w:color w:val="000000"/>
          <w:sz w:val="20"/>
        </w:rPr>
        <w:t xml:space="preserve">Unregistered Sales of Equity Securities and Use of Proceeds </w:t>
      </w:r>
    </w:p>
    <w:p>
      <w:pPr>
        <w:pStyle w:val="TextBody"/>
        <w:bidi w:val="0"/>
        <w:spacing w:before="0" w:after="0"/>
        <w:ind w:left="0" w:right="0" w:firstLine="540"/>
        <w:jc w:val="center"/>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5.</w:t>
      </w:r>
      <w:r>
        <w:rPr>
          <w:color w:val="000000"/>
        </w:rPr>
        <w:t xml:space="preserve"> </w:t>
      </w:r>
      <w:r>
        <w:rPr>
          <w:rFonts w:ascii="Times New Roman;serif" w:hAnsi="Times New Roman;serif"/>
          <w:b/>
          <w:i/>
          <w:color w:val="000000"/>
          <w:sz w:val="20"/>
        </w:rPr>
        <w:t>Other Information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160" w:after="160"/>
        <w:jc w:val="both"/>
        <w:rPr/>
      </w:pPr>
      <w:r>
        <w:rPr/>
      </w:r>
    </w:p>
    <w:p>
      <w:pPr>
        <w:pStyle w:val="TextBody"/>
        <w:bidi w:val="0"/>
        <w:spacing w:lineRule="auto" w:line="288" w:before="0" w:after="0"/>
        <w:jc w:val="left"/>
        <w:rPr/>
      </w:pPr>
      <w:r>
        <w:rPr>
          <w:rFonts w:ascii="Times New Roman;serif" w:hAnsi="Times New Roman;serif"/>
          <w:b/>
          <w:color w:val="000000"/>
          <w:sz w:val="20"/>
        </w:rPr>
        <w:t>ITEM 6.</w:t>
      </w:r>
      <w:r>
        <w:rPr>
          <w:color w:val="000000"/>
        </w:rPr>
        <w:t xml:space="preserve"> </w:t>
      </w:r>
      <w:r>
        <w:rPr>
          <w:rFonts w:ascii="Times New Roman;serif" w:hAnsi="Times New Roman;serif"/>
          <w:b/>
          <w:i/>
          <w:color w:val="000000"/>
          <w:sz w:val="20"/>
        </w:rPr>
        <w:t>Exhibits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(a)INDEX OF EXHIBITS</w:t>
      </w:r>
    </w:p>
    <w:tbl>
      <w:tblPr>
        <w:tblW w:w="10205" w:type="dxa"/>
        <w:jc w:val="left"/>
        <w:tblInd w:w="0" w:type="dxa"/>
        <w:tblLayout w:type="fixed"/>
        <w:tblCellMar>
          <w:top w:w="28" w:type="dxa"/>
          <w:left w:w="28" w:type="dxa"/>
          <w:bottom w:w="28" w:type="dxa"/>
          <w:right w:w="28" w:type="dxa"/>
        </w:tblCellMar>
      </w:tblPr>
      <w:tblGrid>
        <w:gridCol w:w="310"/>
        <w:gridCol w:w="272"/>
        <w:gridCol w:w="273"/>
        <w:gridCol w:w="115"/>
        <w:gridCol w:w="115"/>
        <w:gridCol w:w="116"/>
        <w:gridCol w:w="2880"/>
        <w:gridCol w:w="2860"/>
        <w:gridCol w:w="2889"/>
        <w:gridCol w:w="109"/>
        <w:gridCol w:w="109"/>
        <w:gridCol w:w="157"/>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 xml:space="preserve">Indenture, dated as of July 7, 2026 between Civeo Corporation and U.S. Bank Trust Company, National Association, as trustee (incorporated herein by reference to Exhibit 4.1 to Current Report on Form 8-K (File No. 001-36246 filed on July 8, 2026). </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Form of Global 4.50% Convertible Senior Note due 2031 (incorporated herein by reference to Exhibit 4.2 to Current Report on Form 8-K (File No. 001-36246) filed on July 8, 2026).</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20"/>
                <w:u w:val="single"/>
                <w:b w:val="false"/>
                <w:rFonts w:ascii="Times New Roman;serif" w:hAnsi="Times New Roman;serif"/>
                <w:color w:val="0000FF"/>
              </w:rPr>
              <w:instrText xml:space="preserve"> HYPERLINK "https://www.sec.gov/ix?doc=/Archives/edgar/data/0001590584/000159058426000035/cveo-20260413.htm" \l "i19a2a31a4e594ed0b72fba0723e40eae_664"</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Amended and Restated 2014 Equity Participation Plan of Civeo Corporation, as amended by Amendment No. 1, Amendment No. 2, Amendment No. 3, Amendment No. 4 and Amendment No. 5 (incorporated by reference to Appendix B to Civeo Corporation’s Schedule 14A filed on April 13, 2026).</w:t>
            </w:r>
            <w:r>
              <w:rPr>
                <w:rStyle w:val="InternetLink"/>
                <w:sz w:val="20"/>
                <w:u w:val="single"/>
                <w:b w:val="false"/>
                <w:rFonts w:ascii="Times New Roman;serif" w:hAnsi="Times New Roman;serif"/>
                <w:color w:val="0000FF"/>
              </w:rPr>
              <w:fldChar w:fldCharType="end"/>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2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311cveo06-30x2026exhibit.htm">
              <w:r>
                <w:rPr>
                  <w:rStyle w:val="InternetLink"/>
                  <w:rFonts w:ascii="Times New Roman;serif" w:hAnsi="Times New Roman;serif"/>
                  <w:b w:val="false"/>
                  <w:color w:val="0000FF"/>
                  <w:sz w:val="20"/>
                  <w:u w:val="single"/>
                </w:rPr>
                <w:t>Certification of Chief Executive Officer of Civeo Corporation pursuant to Rules 13a-14(a) or 15d-14(a) under the Securities Exchange Act of 1934.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2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312cveo06-30x2026exhibit.htm">
              <w:r>
                <w:rPr>
                  <w:rStyle w:val="InternetLink"/>
                  <w:rFonts w:ascii="Times New Roman;serif" w:hAnsi="Times New Roman;serif"/>
                  <w:b w:val="false"/>
                  <w:color w:val="0000FF"/>
                  <w:sz w:val="20"/>
                  <w:u w:val="single"/>
                </w:rPr>
                <w:t>Certification of Chief Financial Officer of Civeo Corporation pursuant to Rules 13a-14(a) or 15d-14(a) under the Securities Exchange Act of 1934.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2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321cveo06-30x2026exhibit.htm">
              <w:r>
                <w:rPr>
                  <w:rStyle w:val="InternetLink"/>
                  <w:rFonts w:ascii="Times New Roman;serif" w:hAnsi="Times New Roman;serif"/>
                  <w:b w:val="false"/>
                  <w:color w:val="0000FF"/>
                  <w:sz w:val="20"/>
                  <w:u w:val="single"/>
                </w:rPr>
                <w:t>Certification of Chief Executive Officer of Civeo Corporation pursuant to Rules 13a-14(b) or 15d-14(b) under the Securities Exchange Act of 1934 and 18 U.S.C. Section 1350.</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2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322cveo06-30x2026exhibit.htm">
              <w:r>
                <w:rPr>
                  <w:rStyle w:val="InternetLink"/>
                  <w:rFonts w:ascii="Times New Roman;serif" w:hAnsi="Times New Roman;serif"/>
                  <w:b w:val="false"/>
                  <w:color w:val="0000FF"/>
                  <w:sz w:val="20"/>
                  <w:u w:val="single"/>
                </w:rPr>
                <w:t>Certification of Chief Financial Officer of Civeo Corporation pursuant to Rules 13a-14(b) or 15d-14(b) under the Securities Exchange Act of 1934 and 18 U.S.C. Section 1350.</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Taxonomy Extension Definition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971" w:type="dxa"/>
        <w:jc w:val="left"/>
        <w:tblInd w:w="0" w:type="dxa"/>
        <w:tblLayout w:type="fixed"/>
        <w:tblCellMar>
          <w:top w:w="28" w:type="dxa"/>
          <w:left w:w="28" w:type="dxa"/>
          <w:bottom w:w="28" w:type="dxa"/>
          <w:right w:w="28" w:type="dxa"/>
        </w:tblCellMar>
      </w:tblPr>
      <w:tblGrid>
        <w:gridCol w:w="124"/>
        <w:gridCol w:w="109"/>
        <w:gridCol w:w="109"/>
        <w:gridCol w:w="1822"/>
        <w:gridCol w:w="1822"/>
        <w:gridCol w:w="183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contracts and compensatory plans and arrangements.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160" w:after="1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160" w:after="160"/>
        <w:jc w:val="both"/>
        <w:rPr/>
      </w:pPr>
      <w:r>
        <w:rPr/>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CIVEO CORPORATION</w:t>
      </w:r>
    </w:p>
    <w:p>
      <w:pPr>
        <w:pStyle w:val="TextBody"/>
        <w:bidi w:val="0"/>
        <w:spacing w:lineRule="auto" w:line="288" w:before="0" w:after="0"/>
        <w:ind w:left="0" w:right="0" w:firstLine="45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49"/>
        <w:gridCol w:w="483"/>
        <w:gridCol w:w="486"/>
        <w:gridCol w:w="2592"/>
        <w:gridCol w:w="2523"/>
        <w:gridCol w:w="3572"/>
      </w:tblGrid>
      <w:tr>
        <w:trPr/>
        <w:tc>
          <w:tcPr>
            <w:tcW w:w="54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Date: July 30, 2026</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By  </w:t>
            </w:r>
            <w:r>
              <w:rPr>
                <w:rFonts w:ascii="Times New Roman;serif" w:hAnsi="Times New Roman;serif"/>
                <w:b/>
                <w:color w:val="000000"/>
                <w:sz w:val="20"/>
                <w:u w:val="single"/>
              </w:rPr>
              <w:t>/s/ E. Collin Gerry                         </w:t>
            </w:r>
          </w:p>
        </w:tc>
      </w:tr>
      <w:tr>
        <w:trPr/>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E. Collin Gerry</w:t>
            </w:r>
          </w:p>
        </w:tc>
      </w:tr>
      <w:tr>
        <w:trPr/>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Senior Vice President, Chief Financial Officer and Treasurer (Duly Authorized Officer and Principal Financial Officer)</w:t>
            </w:r>
          </w:p>
        </w:tc>
      </w:tr>
      <w:tr>
        <w:trPr/>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ind w:left="0" w:right="0" w:firstLine="18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extBody"/>
        <w:bidi w:val="0"/>
        <w:spacing w:lineRule="auto" w:line="288" w:before="0" w:after="0"/>
        <w:ind w:left="0" w:right="0" w:firstLine="180"/>
        <w:jc w:val="center"/>
        <w:rPr/>
      </w:pPr>
      <w:r>
        <w:rPr>
          <w:rFonts w:ascii="Times New Roman;serif" w:hAnsi="Times New Roman;serif"/>
          <w:b/>
          <w:color w:val="000000"/>
          <w:sz w:val="20"/>
        </w:rPr>
        <w:t>OF</w:t>
      </w:r>
      <w:r>
        <w:rPr>
          <w:color w:val="000000"/>
        </w:rPr>
        <w:t xml:space="preserve"> </w:t>
      </w:r>
      <w:r>
        <w:rPr>
          <w:rFonts w:ascii="Times New Roman;serif" w:hAnsi="Times New Roman;serif"/>
          <w:b/>
          <w:color w:val="000000"/>
          <w:sz w:val="20"/>
        </w:rPr>
        <w:t>CIVEO CORPORATION</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PURSUANT TO RULE 13a–14(a) UNDER THE</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I, Bradley J. Dodson, certify that:</w:t>
      </w:r>
    </w:p>
    <w:p>
      <w:pPr>
        <w:pStyle w:val="TextBody"/>
        <w:bidi w:val="0"/>
        <w:spacing w:lineRule="auto" w:line="288" w:before="0" w:after="0"/>
        <w:ind w:left="0" w:right="0" w:firstLine="18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80"/>
        <w:gridCol w:w="960"/>
        <w:gridCol w:w="960"/>
        <w:gridCol w:w="2326"/>
        <w:gridCol w:w="1854"/>
        <w:gridCol w:w="26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Civeo Corporation (Registrant);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6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w:t>
            </w:r>
          </w:p>
        </w:tc>
        <w:tc>
          <w:tcPr>
            <w:tcW w:w="6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w:t>
            </w:r>
          </w:p>
        </w:tc>
        <w:tc>
          <w:tcPr>
            <w:tcW w:w="6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6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bl>
      <w:tblPr>
        <w:tblW w:w="3552" w:type="dxa"/>
        <w:jc w:val="left"/>
        <w:tblInd w:w="0" w:type="dxa"/>
        <w:tblLayout w:type="fixed"/>
        <w:tblCellMar>
          <w:top w:w="28" w:type="dxa"/>
          <w:left w:w="28" w:type="dxa"/>
          <w:bottom w:w="28" w:type="dxa"/>
          <w:right w:w="28" w:type="dxa"/>
        </w:tblCellMar>
      </w:tblPr>
      <w:tblGrid>
        <w:gridCol w:w="124"/>
        <w:gridCol w:w="109"/>
        <w:gridCol w:w="109"/>
        <w:gridCol w:w="937"/>
        <w:gridCol w:w="937"/>
        <w:gridCol w:w="13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Bradley J. Dodson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Bradley J. Dodson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18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extBody"/>
        <w:bidi w:val="0"/>
        <w:spacing w:lineRule="auto" w:line="288" w:before="0" w:after="0"/>
        <w:ind w:left="0" w:right="0" w:firstLine="180"/>
        <w:jc w:val="center"/>
        <w:rPr/>
      </w:pPr>
      <w:r>
        <w:rPr>
          <w:rFonts w:ascii="Times New Roman;serif" w:hAnsi="Times New Roman;serif"/>
          <w:b/>
          <w:color w:val="000000"/>
          <w:sz w:val="20"/>
        </w:rPr>
        <w:t>OF</w:t>
      </w:r>
      <w:r>
        <w:rPr>
          <w:color w:val="000000"/>
        </w:rPr>
        <w:t xml:space="preserve"> </w:t>
      </w:r>
      <w:r>
        <w:rPr>
          <w:rFonts w:ascii="Times New Roman;serif" w:hAnsi="Times New Roman;serif"/>
          <w:b/>
          <w:color w:val="000000"/>
          <w:sz w:val="20"/>
        </w:rPr>
        <w:t>CIVEO CORPORATION</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PURSUANT TO RULE 13a–14(a) UNDER THE</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I, E. Collin Gerry, certify that:</w:t>
      </w:r>
    </w:p>
    <w:p>
      <w:pPr>
        <w:pStyle w:val="TextBody"/>
        <w:bidi w:val="0"/>
        <w:spacing w:lineRule="auto" w:line="288" w:before="0" w:after="0"/>
        <w:ind w:left="0" w:right="0" w:firstLine="18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80"/>
        <w:gridCol w:w="960"/>
        <w:gridCol w:w="960"/>
        <w:gridCol w:w="2326"/>
        <w:gridCol w:w="1854"/>
        <w:gridCol w:w="26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Civeo Corporation (Registrant);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6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w:t>
            </w:r>
          </w:p>
        </w:tc>
        <w:tc>
          <w:tcPr>
            <w:tcW w:w="6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w:t>
            </w:r>
          </w:p>
        </w:tc>
        <w:tc>
          <w:tcPr>
            <w:tcW w:w="6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6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p>
      <w:pPr>
        <w:pStyle w:val="TextBody"/>
        <w:bidi w:val="0"/>
        <w:spacing w:lineRule="auto" w:line="288" w:before="0" w:after="0"/>
        <w:ind w:left="0" w:right="0" w:firstLine="180"/>
        <w:jc w:val="left"/>
        <w:rPr>
          <w:color w:val="000000"/>
        </w:rPr>
      </w:pPr>
      <w:r>
        <w:rPr>
          <w:color w:val="000000"/>
        </w:rPr>
        <w:t> </w:t>
      </w:r>
    </w:p>
    <w:tbl>
      <w:tblPr>
        <w:tblW w:w="5322" w:type="dxa"/>
        <w:jc w:val="left"/>
        <w:tblInd w:w="0" w:type="dxa"/>
        <w:tblLayout w:type="fixed"/>
        <w:tblCellMar>
          <w:top w:w="28" w:type="dxa"/>
          <w:left w:w="28" w:type="dxa"/>
          <w:bottom w:w="28" w:type="dxa"/>
          <w:right w:w="28" w:type="dxa"/>
        </w:tblCellMar>
      </w:tblPr>
      <w:tblGrid>
        <w:gridCol w:w="124"/>
        <w:gridCol w:w="109"/>
        <w:gridCol w:w="109"/>
        <w:gridCol w:w="1458"/>
        <w:gridCol w:w="1458"/>
        <w:gridCol w:w="20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 Collin Gerry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 Collin Gerry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18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extBody"/>
        <w:bidi w:val="0"/>
        <w:spacing w:lineRule="auto" w:line="288" w:before="0" w:after="0"/>
        <w:ind w:left="0" w:right="0" w:firstLine="180"/>
        <w:jc w:val="center"/>
        <w:rPr/>
      </w:pPr>
      <w:r>
        <w:rPr>
          <w:rFonts w:ascii="Times New Roman;serif" w:hAnsi="Times New Roman;serif"/>
          <w:b/>
          <w:color w:val="000000"/>
          <w:sz w:val="20"/>
        </w:rPr>
        <w:t>OF</w:t>
      </w:r>
      <w:r>
        <w:rPr>
          <w:color w:val="000000"/>
        </w:rPr>
        <w:t xml:space="preserve"> </w:t>
      </w:r>
      <w:r>
        <w:rPr>
          <w:rFonts w:ascii="Times New Roman;serif" w:hAnsi="Times New Roman;serif"/>
          <w:b/>
          <w:color w:val="000000"/>
          <w:sz w:val="20"/>
        </w:rPr>
        <w:t>CIVEO CORPORATION</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PURSUANT TO 18 U.S.C. § 1350, AS ADOPTED PURSUANT TO</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90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Civeo Corporation (the “Company”) for the quarterly period ended June 30, 2026,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pStyle w:val="TextBody"/>
        <w:bidi w:val="0"/>
        <w:spacing w:lineRule="auto" w:line="288" w:before="0" w:after="0"/>
        <w:ind w:left="0" w:right="0" w:firstLine="1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0" w:after="0"/>
        <w:jc w:val="left"/>
        <w:rPr>
          <w:color w:val="000000"/>
        </w:rPr>
      </w:pPr>
      <w:r>
        <w:rPr>
          <w:color w:val="000000"/>
        </w:rPr>
        <w:t> </w:t>
      </w:r>
    </w:p>
    <w:tbl>
      <w:tblPr>
        <w:tblW w:w="3212" w:type="dxa"/>
        <w:jc w:val="left"/>
        <w:tblInd w:w="0" w:type="dxa"/>
        <w:tblLayout w:type="fixed"/>
        <w:tblCellMar>
          <w:top w:w="28" w:type="dxa"/>
          <w:left w:w="28" w:type="dxa"/>
          <w:bottom w:w="28" w:type="dxa"/>
          <w:right w:w="28" w:type="dxa"/>
        </w:tblCellMar>
      </w:tblPr>
      <w:tblGrid>
        <w:gridCol w:w="124"/>
        <w:gridCol w:w="109"/>
        <w:gridCol w:w="109"/>
        <w:gridCol w:w="303"/>
        <w:gridCol w:w="303"/>
        <w:gridCol w:w="303"/>
        <w:gridCol w:w="524"/>
        <w:gridCol w:w="524"/>
        <w:gridCol w:w="5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Bradley J. Dodson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Bradley J. Dodson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18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extBody"/>
        <w:bidi w:val="0"/>
        <w:spacing w:lineRule="auto" w:line="288" w:before="0" w:after="0"/>
        <w:ind w:left="0" w:right="0" w:firstLine="180"/>
        <w:jc w:val="center"/>
        <w:rPr/>
      </w:pPr>
      <w:r>
        <w:rPr>
          <w:rFonts w:ascii="Times New Roman;serif" w:hAnsi="Times New Roman;serif"/>
          <w:b/>
          <w:color w:val="000000"/>
          <w:sz w:val="20"/>
        </w:rPr>
        <w:t>OF</w:t>
      </w:r>
      <w:r>
        <w:rPr>
          <w:color w:val="000000"/>
        </w:rPr>
        <w:t xml:space="preserve"> </w:t>
      </w:r>
      <w:r>
        <w:rPr>
          <w:rFonts w:ascii="Times New Roman;serif" w:hAnsi="Times New Roman;serif"/>
          <w:b/>
          <w:color w:val="000000"/>
          <w:sz w:val="20"/>
        </w:rPr>
        <w:t>CIVEO CORPORATION</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PURSUANT TO 18 U.S.C. § 1350, AS ADOPTED PURSUANT TO</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68" w:before="0" w:after="0"/>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Civeo Corporation (the “Company”) for the quarterly period ended June 30, 2026, as filed with the Securities and Exchange Commission on the date hereof (the “Report”), I, E. Collin Gerry, Senior Vice President, Chief Financial Officer and Treasurer of the Company, hereby certify, pursuant to 18 U.S.C. Section 1350, as adopted pursuant to Section 906 of the Sarbanes-Oxley Act of 2002, to the best of my knowledge, that:</w:t>
      </w:r>
    </w:p>
    <w:p>
      <w:pPr>
        <w:pStyle w:val="TextBody"/>
        <w:bidi w:val="0"/>
        <w:spacing w:lineRule="auto" w:line="288" w:before="0" w:after="0"/>
        <w:ind w:left="0" w:right="0" w:firstLine="1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2835" w:type="dxa"/>
        <w:jc w:val="left"/>
        <w:tblInd w:w="0" w:type="dxa"/>
        <w:tblLayout w:type="fixed"/>
        <w:tblCellMar>
          <w:top w:w="28" w:type="dxa"/>
          <w:left w:w="28" w:type="dxa"/>
          <w:bottom w:w="28" w:type="dxa"/>
          <w:right w:w="28" w:type="dxa"/>
        </w:tblCellMar>
      </w:tblPr>
      <w:tblGrid>
        <w:gridCol w:w="124"/>
        <w:gridCol w:w="109"/>
        <w:gridCol w:w="109"/>
        <w:gridCol w:w="262"/>
        <w:gridCol w:w="262"/>
        <w:gridCol w:w="262"/>
        <w:gridCol w:w="445"/>
        <w:gridCol w:w="445"/>
        <w:gridCol w:w="44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 Collin Gerry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t>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 Collin Gerry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90584/000119312526297738/d153591dex41.htm" TargetMode="External"/><Relationship Id="rId3" Type="http://schemas.openxmlformats.org/officeDocument/2006/relationships/hyperlink" Target="https://www.sec.gov/Archives/edgar/data/1590584/000119312526297738/d153591dex4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20168</Words>
  <Characters>111747</Characters>
  <CharactersWithSpaces>130752</CharactersWithSpaces>
  <Paragraphs>2772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