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October 29, 2026</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01"/>
        <w:spacing w:after="0" w:line="263" w:lineRule="auto"/>
        <w:rPr>
          <w:sz w:val="20"/>
          <w:szCs w:val="20"/>
          <w:color w:val="auto"/>
        </w:rPr>
      </w:pPr>
      <w:r>
        <w:rPr>
          <w:rFonts w:ascii="Times New Roman" w:cs="Times New Roman" w:eastAsia="Times New Roman" w:hAnsi="Times New Roman"/>
          <w:sz w:val="22"/>
          <w:szCs w:val="22"/>
          <w:color w:val="auto"/>
        </w:rPr>
        <w:t>On October 29, 2026, Civeo Corporation (“Civeo”) issued a press release announcing its financial condition and results of operations as of and for the quarter ended September 30, 2026.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The information contained in this report and Exhibit 99.1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(the "Securities Act"), or the Exchange Act, except as may be expressly set forth by specific reference in such filing.</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620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3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8"/>
              </w:rPr>
              <w:t>Press Release dated October 29, 2026</w:t>
            </w:r>
          </w:p>
        </w:tc>
        <w:tc>
          <w:tcPr>
            <w:tcW w:w="6200" w:type="dxa"/>
            <w:vAlign w:val="bottom"/>
          </w:tcPr>
          <w:p>
            <w:pPr>
              <w:spacing w:after="0"/>
              <w:rPr>
                <w:sz w:val="24"/>
                <w:szCs w:val="24"/>
                <w:color w:val="auto"/>
              </w:rPr>
            </w:pPr>
          </w:p>
        </w:tc>
      </w:tr>
      <w:tr>
        <w:trPr>
          <w:trHeight w:val="505"/>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1385"/>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29, 2026</w:t>
      </w:r>
    </w:p>
    <w:p>
      <w:pPr>
        <w:spacing w:after="0" w:line="200" w:lineRule="exact"/>
        <w:rPr>
          <w:sz w:val="20"/>
          <w:szCs w:val="20"/>
          <w:color w:val="auto"/>
        </w:rPr>
      </w:pPr>
    </w:p>
    <w:p>
      <w:pPr>
        <w:spacing w:after="0" w:line="29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Civeo Reports Third Quarter 2026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revenues of $193.1 million, net income of $5.2 million and Adjusted EBITDA of $30.1 million;</w:t>
      </w:r>
    </w:p>
    <w:p>
      <w:pPr>
        <w:spacing w:after="0" w:line="13" w:lineRule="exact"/>
        <w:rPr>
          <w:rFonts w:ascii="Arial" w:cs="Arial" w:eastAsia="Arial" w:hAnsi="Arial"/>
          <w:sz w:val="18"/>
          <w:szCs w:val="18"/>
          <w:color w:val="auto"/>
        </w:rPr>
      </w:pPr>
    </w:p>
    <w:p>
      <w:pPr>
        <w:ind w:left="660" w:right="26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revenues increased 13% year-over-year, driven by higher occupancy and integrated services growth in Canada and the strengthening of the Australian dollar;</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Canadian revenues increased 38% and Adjusted EBITDA increased 47% year-over-year, driven primarily by higher occupancy at the Company’s oil sands lodges, reflecting stronger-than-expected turnaround activity;</w:t>
      </w:r>
    </w:p>
    <w:p>
      <w:pPr>
        <w:spacing w:after="0" w:line="1" w:lineRule="exact"/>
        <w:rPr>
          <w:rFonts w:ascii="Arial" w:cs="Arial" w:eastAsia="Arial" w:hAnsi="Arial"/>
          <w:sz w:val="18"/>
          <w:szCs w:val="18"/>
          <w:color w:val="auto"/>
        </w:rPr>
      </w:pPr>
    </w:p>
    <w:p>
      <w:pPr>
        <w:ind w:left="660" w:right="22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operating cash flow of $26.4 million in the third quarter and $28.3 million year-to-date, an increase of $25.2 million over the first nine months of 2025, driven by higher Adjusted EBITDA, including a full nine months of contribution from the Australian villages acquired in May 2025, as well as lower cash taxes in Australia and favorable working capital timing;</w:t>
      </w:r>
    </w:p>
    <w:p>
      <w:pPr>
        <w:spacing w:after="0" w:line="2" w:lineRule="exact"/>
        <w:rPr>
          <w:rFonts w:ascii="Arial" w:cs="Arial" w:eastAsia="Arial" w:hAnsi="Arial"/>
          <w:sz w:val="18"/>
          <w:szCs w:val="18"/>
          <w:color w:val="auto"/>
        </w:rPr>
      </w:pPr>
    </w:p>
    <w:p>
      <w:pPr>
        <w:ind w:left="660" w:right="12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the end of the second quarter of 2026, secured contracts with a diverse set of customers for the deployment of approximately 700 mobile fleet rooms across Canada;</w:t>
      </w:r>
    </w:p>
    <w:p>
      <w:pPr>
        <w:spacing w:after="0" w:line="1" w:lineRule="exact"/>
        <w:rPr>
          <w:rFonts w:ascii="Arial" w:cs="Arial" w:eastAsia="Arial" w:hAnsi="Arial"/>
          <w:sz w:val="18"/>
          <w:szCs w:val="18"/>
          <w:color w:val="auto"/>
        </w:rPr>
      </w:pPr>
    </w:p>
    <w:p>
      <w:pPr>
        <w:ind w:left="660" w:right="20" w:hanging="328"/>
        <w:spacing w:after="0" w:line="22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Recognized by Restaurant &amp; Catering Australia in its Best Industrial Caterer category, winning the state awards in Western Australia, Queensland and South Australia and sweeping the top three places nationally; and</w:t>
      </w:r>
    </w:p>
    <w:p>
      <w:pPr>
        <w:spacing w:after="0" w:line="1" w:lineRule="exact"/>
        <w:rPr>
          <w:rFonts w:ascii="Arial" w:cs="Arial" w:eastAsia="Arial" w:hAnsi="Arial"/>
          <w:sz w:val="18"/>
          <w:szCs w:val="18"/>
          <w:color w:val="auto"/>
        </w:rPr>
      </w:pPr>
    </w:p>
    <w:p>
      <w:pPr>
        <w:ind w:left="660" w:right="420" w:hanging="328"/>
        <w:spacing w:after="0" w:line="24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Raised full year 2026 revenue and Adjusted EBITDA guidance to $710 million to $720 million and $89 million to $92 million, respectively, and increased capital expenditure guidance to $30 million to $35 million to prepare Canadian assets for contracted deployments.</w:t>
      </w:r>
    </w:p>
    <w:p>
      <w:pPr>
        <w:spacing w:after="0" w:line="22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HOUSTON, October 29, 2026 (BUSINESS WIRE) -- Civeo Corporation (NYSE:CVEO) today reported financial and operating results for the third quarter ended September 30, 2026.</w:t>
      </w:r>
    </w:p>
    <w:p>
      <w:pPr>
        <w:spacing w:after="0" w:line="7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Bradley J. Dodson, Civeo's President and Chief Executive Officer, said, “We delivered a strong third quarter with 13% year-over-year revenue growth and a 5% increase in Adjusted EBITDA, while third quarter operating cash flow nearly doubled to $26.4 million. In Canada, revenues increased 38%, driven by stronger-than-expected turnaround activity at our oil sands lodges and our new integrated services contract in Ontario, and higher occupancy drove a 47% increase in Adjusted EBITDA. In Australia, contractual rate increases and increased</w:t>
      </w:r>
    </w:p>
    <w:p>
      <w:pPr>
        <w:ind w:right="300"/>
        <w:spacing w:after="0" w:line="237" w:lineRule="auto"/>
        <w:rPr>
          <w:sz w:val="20"/>
          <w:szCs w:val="20"/>
          <w:color w:val="auto"/>
        </w:rPr>
      </w:pPr>
      <w:r>
        <w:rPr>
          <w:rFonts w:ascii="Arial" w:cs="Arial" w:eastAsia="Arial" w:hAnsi="Arial"/>
          <w:sz w:val="18"/>
          <w:szCs w:val="18"/>
          <w:color w:val="auto"/>
        </w:rPr>
        <w:t>shutdown activity in our integrated services business helped offset lower owned-village occupancy in the Bowen Basin, while the stronger Australian dollar contributed to year-over-year revenue growth.”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Mr. Dodson continued, “Our North American business continues to gain traction. Buoyed by stabilizing oil sands occupancy, continued integrated services growth, and recent contractual wins encompassing approximately 700 mobile fleet rooms in Canada, we now expect Canadian revenue, in local currency, to increase approximately 30% year-over-year in the back half of 2026. This is an improvement from the prior quarter’s guidance of 20% year-over-year growth over the same time period. Beyond the oil sands, our pipeline of North American infrastructure opportunities, including LNG, Canadian energy infrastructure, and power and data center development, remains robust. In summary, we continue to see increasing room demand across a diverse set of end markets, which should continue to support stronger utilization, pricing and ultimately returns.”</w:t>
      </w:r>
    </w:p>
    <w:p>
      <w:pPr>
        <w:spacing w:after="0" w:line="21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Mr. Dodson concluded, “Reflecting our year-to-date performance, we are raising our full year 2026 revenue and Adjusted EBITDA guidance. In Canada, some turnaround activity we had expected to extend into the fourth quarter was instead completed in the third quarter. In Australia, owned-village occupancy remains solid, though softer than healthy commodity prices would typically support, as elevated diesel costs and broader inflationary pressures keep producers focused on cost discipline. We expect these dynamics to persist through year-end.</w:t>
      </w:r>
    </w:p>
    <w:p>
      <w:pPr>
        <w:ind w:right="220"/>
        <w:spacing w:after="0"/>
        <w:rPr>
          <w:sz w:val="20"/>
          <w:szCs w:val="20"/>
          <w:color w:val="auto"/>
        </w:rPr>
      </w:pPr>
      <w:r>
        <w:rPr>
          <w:rFonts w:ascii="Arial" w:cs="Arial" w:eastAsia="Arial" w:hAnsi="Arial"/>
          <w:sz w:val="17"/>
          <w:szCs w:val="17"/>
          <w:color w:val="auto"/>
        </w:rPr>
        <w:t>With enhanced financial flexibility and a growing pipeline of North American infrastructure opportunities, we see a clear path to long-term growth and value creation, which we intend to pursue deliberately, remaining focused on safe, efficient operations and cost discipline while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committing capital only where we believe the returns justify the investment.”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2026 Results</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third quarter of 2026, Civeo generated revenues of $ 193.1 million and reported net income of $5.2 million, or $ 0.50 per diluted share. During the third quarter of 2026, Civeo produced operating cash flow of $26.4 million and Adjusted EBITDA of $30.1 million. See footnote (1) to the Non-GAAP Reconciliations table contained herein for the Company’s updated definition of Adjusted EBITDA.</w:t>
      </w:r>
    </w:p>
    <w:p>
      <w:pPr>
        <w:spacing w:after="0" w:line="196"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color w:val="auto"/>
        </w:rPr>
        <w:t>By comparison, in the third quarter of 2025, Civeo generated revenues of $170.5 million and reported a net loss of $0.5 million, or $ 0.04 per diluted share. During the third quarter of 2025, Civeo generated operating cash flow of $13.8 million and Adjusted EBITDA of $28.6 million.</w:t>
      </w:r>
    </w:p>
    <w:p>
      <w:pPr>
        <w:sectPr>
          <w:pgSz w:w="11900" w:h="16838" w:orient="portrait"/>
          <w:cols w:equalWidth="0" w:num="1">
            <w:col w:w="11220"/>
          </w:cols>
          <w:pgMar w:left="320" w:top="889" w:right="359" w:bottom="1440" w:gutter="0" w:footer="0" w:header="0"/>
        </w:sectPr>
      </w:pPr>
    </w:p>
    <w:bookmarkStart w:id="5" w:name="page6"/>
    <w:bookmarkEnd w:id="5"/>
    <w:p>
      <w:pPr>
        <w:ind w:right="300"/>
        <w:spacing w:after="0" w:line="243" w:lineRule="auto"/>
        <w:rPr>
          <w:sz w:val="20"/>
          <w:szCs w:val="20"/>
          <w:color w:val="auto"/>
        </w:rPr>
      </w:pPr>
      <w:r>
        <w:rPr>
          <w:rFonts w:ascii="Arial" w:cs="Arial" w:eastAsia="Arial" w:hAnsi="Arial"/>
          <w:sz w:val="18"/>
          <w:szCs w:val="18"/>
          <w:color w:val="auto"/>
        </w:rPr>
        <w:t>The year-over-year increase in Adjusted EBITDA was primarily driven by higher occupancy at the Company’s Canadian oil sands lodges, reflecting stronger-than-expected turnaround activity, the majority of which occurred in the third quarter, and the favorable impact of a stronger Australian dollar. These benefits were partially offset by lower owned-village occupancy in Australia’s Bowen Basin, as elevated diesel costs and broader inflationary pressures kept producers focused on cost discipline.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the third quarter of 2026, the Australian segment generated revenues of $129.5 million, operating income of $14.8 million and Adjusted EBITDA of $23.2 million, compared to revenues of $124.5 million, operating income of $15.3 million and Adjusted EBITDA of $25.0 million in the third quarter of 2025. Results for the third quarter of 2026 include the impact of a strengthened Australian dollar relative to the U.S. dollar, which positively impacted revenues and Adjusted EBITDA by $9.6 million and $1.7 million, respectively.</w:t>
      </w:r>
    </w:p>
    <w:p>
      <w:pPr>
        <w:spacing w:after="0" w:line="19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Australian segment reported a 4% increase in revenues and a 7% decrease in Adjusted EBITDA. The year-over-year increase in revenues was primarily driven by the strengthening of the Australian dollar, contractual rate increases across integrated services contracts and increased shutdown activity, partially offset by lower owned-village occupancy in the Bowen Basin. The decrease in Adjusted EBITDA primarily reflected lower occupancy in the Company’s higher-margin owned villages.</w:t>
      </w:r>
    </w:p>
    <w:p>
      <w:pPr>
        <w:spacing w:after="0" w:line="201" w:lineRule="exact"/>
        <w:rPr>
          <w:sz w:val="20"/>
          <w:szCs w:val="20"/>
          <w:color w:val="auto"/>
        </w:rPr>
      </w:pPr>
    </w:p>
    <w:p>
      <w:pPr>
        <w:ind w:right="440"/>
        <w:spacing w:after="0" w:line="301" w:lineRule="auto"/>
        <w:rPr>
          <w:sz w:val="20"/>
          <w:szCs w:val="20"/>
          <w:color w:val="auto"/>
        </w:rPr>
      </w:pPr>
      <w:r>
        <w:rPr>
          <w:rFonts w:ascii="Arial" w:cs="Arial" w:eastAsia="Arial" w:hAnsi="Arial"/>
          <w:sz w:val="17"/>
          <w:szCs w:val="17"/>
          <w:color w:val="auto"/>
        </w:rPr>
        <w:t>The Company’s Australian operations were also recently recognized by Restaurant &amp; Catering Australia in its Best Industrial Caterer category, winning the state awards in Western Australia, Queensland and South Australia and sweeping the top three places nationally.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31"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During the third quarter of 2026, the Canadian segment generated revenues of $63.6 million, operating income of $3.8 million and Adjusted EBITDA of $ 11.1 million, compared to revenues of $46.0 million, an operating loss of $2.8 million and Adjusted EBITDA of $7.6 million in the third quarter of 2025.</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Canadian segment reported a 38% increase in revenues driven by higher occupancy at the Company’s oil sands lodges, reflecting stronger-than-expected turnaround activity, and the new integrated services contract in Ontario. Adjusted EBITDA increased 47%, primarily reflecting higher occupancy.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and Capital Allocation</w:t>
      </w:r>
    </w:p>
    <w:p>
      <w:pPr>
        <w:spacing w:after="0" w:line="13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As of September 30, 2026, Civeo had $126.9 million of availability under its revolving credit facility. Civeo's total debt at September 30, 2026 was $217.5 million, an $ 8.9 million increase from June 30, 2026. Civeo's net debt at September 30, 2026 was $196.0 million, a $5.1 million increase since June 30, 2026, primarily attributable to the share repurchase completed concurrent with the convertible notes offering, partially offset by cash generated from operations, bringing Civeo's reported total net leverage ratio to 2.1x as of September 30, 2026.</w:t>
      </w:r>
    </w:p>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the third quarter of 2026, Civeo invested $5.4 million in capital expenditures compared to $5.6 million invested during the third quarter of 2025. Capital expenditures in both periods were primarily related to maintenance spending on the Company’s lodges and villages.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July 2026, the Company issued $115.0 million aggregate principal amount of 4.50% convertible senior notes due 2031, including the full exercise of the initial purchasers' option to purchase an additional $15.0 million of notes. The notes bear interest at a fixed rate of 4.50% per annum, mature on August 1, 2031, and have an initial conversion price of approximately $40.51 per share, representing a 20% premium to</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closing price of Civeo's common shares on July 1, 2026. Concurrent with the offering, Civeo repurchased 660,297 of its common shares for approximately $22.3 million, completing the 20% share repurchase authorization approved by the Board of Directors in April 2025 and</w:t>
      </w:r>
    </w:p>
    <w:p>
      <w:pPr>
        <w:spacing w:after="0" w:line="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bringing the Company’s additional 10% authorization to approximately 50% complete as of September 30, 2026. The Company used the remaining net proceeds from the offering to repay borrowings under its revolving credit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2026 Guidance</w:t>
      </w:r>
    </w:p>
    <w:p>
      <w:pPr>
        <w:spacing w:after="0" w:line="14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For the full year of 2026, Civeo is raising its revenue and Adjusted EBITDA guidance to $710 million to $720 million and $89 million to $92 million, respectively, from its prior ranges of $675 million to $700 million and $85 million to $90 million.</w:t>
      </w:r>
    </w:p>
    <w:p>
      <w:pPr>
        <w:sectPr>
          <w:pgSz w:w="11900" w:h="16838" w:orient="portrait"/>
          <w:cols w:equalWidth="0" w:num="1">
            <w:col w:w="11200"/>
          </w:cols>
          <w:pgMar w:left="320" w:top="877" w:right="379" w:bottom="1440" w:gutter="0" w:footer="0" w:header="0"/>
        </w:sectPr>
      </w:pPr>
    </w:p>
    <w:bookmarkStart w:id="6" w:name="page7"/>
    <w:bookmarkEnd w:id="6"/>
    <w:p>
      <w:pPr>
        <w:ind w:right="440"/>
        <w:spacing w:after="0" w:line="271" w:lineRule="auto"/>
        <w:rPr>
          <w:sz w:val="20"/>
          <w:szCs w:val="20"/>
          <w:color w:val="auto"/>
        </w:rPr>
      </w:pPr>
      <w:r>
        <w:rPr>
          <w:rFonts w:ascii="Arial" w:cs="Arial" w:eastAsia="Arial" w:hAnsi="Arial"/>
          <w:sz w:val="18"/>
          <w:szCs w:val="18"/>
          <w:color w:val="auto"/>
        </w:rPr>
        <w:t>The Company is increasing its full year 2026 capital expenditure guidance range to $30 million to $35 million, from its prior range of $25 million to $30 million. The increase in expected capital expenditures for 2026 is related to preparing Canadian assets for deployment.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Civeo will host a conference call to discuss its third quarter 2026 financial results tomorrow at 8:30 a.m. Eastern time. This call is being webcast and can be accessed at Civeo's website at www.civeo.com. Participants may also join the conference call by dialing (877) 423-9813</w:t>
      </w:r>
    </w:p>
    <w:p>
      <w:pPr>
        <w:spacing w:after="0" w:line="1"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in the United States or (201) 689-8573 internationally and asking for the Civeo call or using the conference ID 13763564#. A replay will be available after the call by dialing (844) 512-2921 in the United States or (412) 317-6671 internationally and using the conference ID 13763564#.</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3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Civeo Corporation is a leading provider of hospitality services with prominent market positions in the Australian natural resource regions and the Canadian oil sands.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owns and operates a total of 26 lodges and villages in Australia and North America with an aggregate of approximately 26,300 rooms. In addition, Civeo operates and provides hospitality services at 22 customer-owned locations with approximately 18,300 rooms. Civeo is publicly traded under the symbol CVEO on the New York Stock Exchange. For more information, please visit Civeo's website at </w:t>
      </w:r>
      <w:r>
        <w:rPr>
          <w:rFonts w:ascii="Arial" w:cs="Arial" w:eastAsia="Arial" w:hAnsi="Arial"/>
          <w:sz w:val="18"/>
          <w:szCs w:val="18"/>
          <w:color w:val="0563C1"/>
        </w:rPr>
        <w:t>www.civeo.com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1980"/>
        <w:spacing w:after="0" w:line="255"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guidance, current trends,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expectations with respect to Adjusted EBITDA, capital expenditures, future revenues, share repurchases, free cash flow generation, cost reductions, integration of the Australian asset acquisition, future infrastructure-related opportunities and liquidity needs, are based on then-current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coal, iron ore, oil, natural gas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including wildfires,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44" w:lineRule="exact"/>
        <w:rPr>
          <w:sz w:val="20"/>
          <w:szCs w:val="20"/>
          <w:color w:val="auto"/>
        </w:rPr>
      </w:pPr>
    </w:p>
    <w:p>
      <w:pPr>
        <w:ind w:right="2320"/>
        <w:spacing w:after="0" w:line="291" w:lineRule="auto"/>
        <w:rPr>
          <w:sz w:val="20"/>
          <w:szCs w:val="20"/>
          <w:color w:val="auto"/>
        </w:rPr>
      </w:pPr>
      <w:r>
        <w:rPr>
          <w:rFonts w:ascii="Arial" w:cs="Arial" w:eastAsia="Arial" w:hAnsi="Arial"/>
          <w:sz w:val="17"/>
          <w:szCs w:val="17"/>
          <w:color w:val="auto"/>
        </w:rPr>
        <w:t>EBITDA, Adjusted EBITDA, net debt, bank-adjusted EBITDA and total net leverage ratio are non-GAAP financial measures. See “Non-GAAP Reconciliation” below for definitions and additional information concerning non-GAAP financial measures, including a reconciliation of the non-GAAP financial information presented in this</w:t>
      </w:r>
    </w:p>
    <w:p>
      <w:pPr>
        <w:sectPr>
          <w:pgSz w:w="11900" w:h="16838" w:orient="portrait"/>
          <w:cols w:equalWidth="0" w:num="1">
            <w:col w:w="11220"/>
          </w:cols>
          <w:pgMar w:left="320" w:top="1120" w:right="359" w:bottom="1440" w:gutter="0" w:footer="0" w:header="0"/>
        </w:sectPr>
      </w:pPr>
    </w:p>
    <w:bookmarkStart w:id="7" w:name="page8"/>
    <w:bookmarkEnd w:id="7"/>
    <w:p>
      <w:pPr>
        <w:ind w:right="1020"/>
        <w:spacing w:after="0" w:line="259" w:lineRule="auto"/>
        <w:rPr>
          <w:sz w:val="20"/>
          <w:szCs w:val="20"/>
          <w:color w:val="auto"/>
        </w:rPr>
      </w:pPr>
      <w:r>
        <w:rPr>
          <w:rFonts w:ascii="Arial" w:cs="Arial" w:eastAsia="Arial" w:hAnsi="Arial"/>
          <w:sz w:val="18"/>
          <w:szCs w:val="18"/>
          <w:color w:val="auto"/>
        </w:rPr>
        <w:t>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21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September 30,</w:t>
            </w:r>
          </w:p>
        </w:tc>
      </w:tr>
      <w:tr>
        <w:trPr>
          <w:trHeight w:val="257"/>
        </w:trPr>
        <w:tc>
          <w:tcPr>
            <w:tcW w:w="4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r>
      <w:tr>
        <w:trPr>
          <w:trHeight w:val="500"/>
        </w:trPr>
        <w:tc>
          <w:tcPr>
            <w:tcW w:w="4260" w:type="dxa"/>
            <w:vAlign w:val="bottom"/>
          </w:tcPr>
          <w:p>
            <w:pPr>
              <w:spacing w:after="0"/>
              <w:rPr>
                <w:sz w:val="20"/>
                <w:szCs w:val="20"/>
                <w:color w:val="auto"/>
              </w:rPr>
            </w:pPr>
            <w:r>
              <w:rPr>
                <w:rFonts w:ascii="Arial" w:cs="Arial" w:eastAsia="Arial" w:hAnsi="Arial"/>
                <w:sz w:val="14"/>
                <w:szCs w:val="14"/>
                <w:color w:val="auto"/>
              </w:rPr>
              <w:t>Revenues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193,101</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170,491</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545,785</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477,229</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146,814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126,704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417,931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362,850</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18,604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18,107</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59,078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56,762</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15,714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20,012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49,349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54,092</w:t>
            </w:r>
          </w:p>
        </w:tc>
      </w:tr>
      <w:tr>
        <w:trPr>
          <w:trHeight w:val="261"/>
        </w:trPr>
        <w:tc>
          <w:tcPr>
            <w:tcW w:w="4260" w:type="dxa"/>
            <w:vAlign w:val="bottom"/>
          </w:tcPr>
          <w:p>
            <w:pPr>
              <w:ind w:left="120"/>
              <w:spacing w:after="0"/>
              <w:rPr>
                <w:sz w:val="20"/>
                <w:szCs w:val="20"/>
                <w:color w:val="auto"/>
              </w:rPr>
            </w:pPr>
            <w:r>
              <w:rPr>
                <w:rFonts w:ascii="Arial" w:cs="Arial" w:eastAsia="Arial" w:hAnsi="Arial"/>
                <w:sz w:val="14"/>
                <w:szCs w:val="14"/>
                <w:color w:val="auto"/>
              </w:rPr>
              <w:t>Other operating income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w:t>
            </w:r>
          </w:p>
        </w:tc>
      </w:tr>
      <w:tr>
        <w:trPr>
          <w:trHeight w:val="236"/>
        </w:trPr>
        <w:tc>
          <w:tcPr>
            <w:tcW w:w="4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179,801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163,525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524,270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472,979</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13,300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6,966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21,515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4,250</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(4,414)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(3,422)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(12,432)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(7,740)</w:t>
            </w:r>
          </w:p>
        </w:tc>
      </w:tr>
      <w:tr>
        <w:trPr>
          <w:trHeight w:val="257"/>
        </w:trPr>
        <w:tc>
          <w:tcPr>
            <w:tcW w:w="4260" w:type="dxa"/>
            <w:vAlign w:val="bottom"/>
          </w:tcPr>
          <w:p>
            <w:pPr>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129</w:t>
            </w:r>
          </w:p>
        </w:tc>
      </w:tr>
      <w:tr>
        <w:trPr>
          <w:trHeight w:val="260"/>
        </w:trPr>
        <w:tc>
          <w:tcPr>
            <w:tcW w:w="4260" w:type="dxa"/>
            <w:vAlign w:val="bottom"/>
          </w:tcPr>
          <w:p>
            <w:pPr>
              <w:spacing w:after="0"/>
              <w:rPr>
                <w:sz w:val="20"/>
                <w:szCs w:val="20"/>
                <w:color w:val="auto"/>
              </w:rPr>
            </w:pPr>
            <w:r>
              <w:rPr>
                <w:rFonts w:ascii="Arial" w:cs="Arial" w:eastAsia="Arial" w:hAnsi="Arial"/>
                <w:sz w:val="14"/>
                <w:szCs w:val="14"/>
                <w:color w:val="auto"/>
              </w:rPr>
              <w:t>Other income (expense)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476</w:t>
            </w:r>
          </w:p>
        </w:tc>
      </w:tr>
      <w:tr>
        <w:trPr>
          <w:trHeight w:val="233"/>
        </w:trPr>
        <w:tc>
          <w:tcPr>
            <w:tcW w:w="426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9,062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3,582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9,408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(2,885)</w:t>
            </w:r>
          </w:p>
        </w:tc>
      </w:tr>
      <w:tr>
        <w:trPr>
          <w:trHeight w:val="260"/>
        </w:trPr>
        <w:tc>
          <w:tcPr>
            <w:tcW w:w="4260" w:type="dxa"/>
            <w:vAlign w:val="bottom"/>
          </w:tcPr>
          <w:p>
            <w:pPr>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(3,879)</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(4,038)</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(10,545)</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(10,732)</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Net income (loss)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5,183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(13,617)</w:t>
            </w:r>
          </w:p>
        </w:tc>
      </w:tr>
      <w:tr>
        <w:trPr>
          <w:trHeight w:val="260"/>
        </w:trPr>
        <w:tc>
          <w:tcPr>
            <w:tcW w:w="4260" w:type="dxa"/>
            <w:vAlign w:val="bottom"/>
          </w:tcPr>
          <w:p>
            <w:pPr>
              <w:ind w:left="120"/>
              <w:spacing w:after="0"/>
              <w:rPr>
                <w:sz w:val="20"/>
                <w:szCs w:val="20"/>
                <w:color w:val="auto"/>
              </w:rPr>
            </w:pPr>
            <w:r>
              <w:rPr>
                <w:rFonts w:ascii="Arial" w:cs="Arial" w:eastAsia="Arial" w:hAnsi="Arial"/>
                <w:sz w:val="14"/>
                <w:szCs w:val="14"/>
                <w:color w:val="auto"/>
              </w:rPr>
              <w:t>Less: Net income (loss) attributable to noncontrolling interest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14"/>
        </w:trPr>
        <w:tc>
          <w:tcPr>
            <w:tcW w:w="426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5,179</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(13,611)</w:t>
            </w:r>
          </w:p>
        </w:tc>
      </w:tr>
      <w:tr>
        <w:trPr>
          <w:trHeight w:val="20"/>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89"/>
        </w:trPr>
        <w:tc>
          <w:tcPr>
            <w:tcW w:w="4560" w:type="dxa"/>
            <w:vAlign w:val="bottom"/>
            <w:gridSpan w:val="2"/>
          </w:tcPr>
          <w:p>
            <w:pPr>
              <w:spacing w:after="0"/>
              <w:rPr>
                <w:sz w:val="20"/>
                <w:szCs w:val="20"/>
                <w:color w:val="auto"/>
              </w:rPr>
            </w:pPr>
            <w:r>
              <w:rPr>
                <w:rFonts w:ascii="Arial" w:cs="Arial" w:eastAsia="Arial" w:hAnsi="Arial"/>
                <w:sz w:val="14"/>
                <w:szCs w:val="14"/>
                <w:color w:val="auto"/>
              </w:rPr>
              <w:t>Net income (loss) per share attributable to Civeo Corporation common</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4"/>
                <w:szCs w:val="14"/>
                <w:color w:val="auto"/>
              </w:rPr>
              <w:t>shareholders: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3"/>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0.50</w:t>
            </w:r>
          </w:p>
        </w:tc>
        <w:tc>
          <w:tcPr>
            <w:tcW w:w="2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(0.04)</w:t>
            </w:r>
          </w:p>
        </w:tc>
        <w:tc>
          <w:tcPr>
            <w:tcW w:w="24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(0.11)</w:t>
            </w:r>
          </w:p>
        </w:tc>
        <w:tc>
          <w:tcPr>
            <w:tcW w:w="2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0.50</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(0.04)</w:t>
            </w:r>
          </w:p>
        </w:tc>
        <w:tc>
          <w:tcPr>
            <w:tcW w:w="24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(0.11)</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10,357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12,395</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10,800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13,053</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10,379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12,395</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10,800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13,053</w:t>
            </w:r>
          </w:p>
        </w:tc>
      </w:tr>
    </w:tbl>
    <w:p>
      <w:pPr>
        <w:sectPr>
          <w:pgSz w:w="11900" w:h="16838" w:orient="portrait"/>
          <w:cols w:equalWidth="0" w:num="1">
            <w:col w:w="10220"/>
          </w:cols>
          <w:pgMar w:left="320" w:top="890" w:right="1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2"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24,282</w:t>
            </w:r>
          </w:p>
        </w:tc>
        <w:tc>
          <w:tcPr>
            <w:tcW w:w="2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14,439</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122,886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90,470</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6,927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6,218</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1,607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23,510</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20,086</w:t>
            </w:r>
          </w:p>
        </w:tc>
        <w:tc>
          <w:tcPr>
            <w:tcW w:w="0" w:type="dxa"/>
            <w:vAlign w:val="bottom"/>
          </w:tcPr>
          <w:p>
            <w:pPr>
              <w:spacing w:after="0"/>
              <w:rPr>
                <w:sz w:val="1"/>
                <w:szCs w:val="1"/>
                <w:color w:val="auto"/>
              </w:rPr>
            </w:pPr>
          </w:p>
        </w:tc>
      </w:tr>
      <w:tr>
        <w:trPr>
          <w:trHeight w:val="222"/>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179,212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131,213</w:t>
            </w:r>
          </w:p>
        </w:tc>
        <w:tc>
          <w:tcPr>
            <w:tcW w:w="0" w:type="dxa"/>
            <w:vAlign w:val="bottom"/>
          </w:tcPr>
          <w:p>
            <w:pPr>
              <w:spacing w:after="0"/>
              <w:rPr>
                <w:sz w:val="1"/>
                <w:szCs w:val="1"/>
                <w:color w:val="auto"/>
              </w:rPr>
            </w:pPr>
          </w:p>
        </w:tc>
      </w:tr>
      <w:tr>
        <w:trPr>
          <w:trHeight w:val="446"/>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214,578</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244,517</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7,890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7,541</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64,499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70,410</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15,381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14,485</w:t>
            </w: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12,063</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9,245</w:t>
            </w:r>
          </w:p>
        </w:tc>
        <w:tc>
          <w:tcPr>
            <w:tcW w:w="0" w:type="dxa"/>
            <w:vAlign w:val="bottom"/>
          </w:tcPr>
          <w:p>
            <w:pPr>
              <w:spacing w:after="0"/>
              <w:rPr>
                <w:sz w:val="1"/>
                <w:szCs w:val="1"/>
                <w:color w:val="auto"/>
              </w:rPr>
            </w:pPr>
          </w:p>
        </w:tc>
      </w:tr>
      <w:tr>
        <w:trPr>
          <w:trHeight w:val="224"/>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493,623</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477,411</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55,395</w:t>
            </w:r>
          </w:p>
        </w:tc>
        <w:tc>
          <w:tcPr>
            <w:tcW w:w="2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44,282</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36,640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30,837</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5,309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2,903</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7,242</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6,761</w:t>
            </w:r>
          </w:p>
        </w:tc>
        <w:tc>
          <w:tcPr>
            <w:tcW w:w="0" w:type="dxa"/>
            <w:vAlign w:val="bottom"/>
          </w:tcPr>
          <w:p>
            <w:pPr>
              <w:spacing w:after="0"/>
              <w:rPr>
                <w:sz w:val="1"/>
                <w:szCs w:val="1"/>
                <w:color w:val="auto"/>
              </w:rPr>
            </w:pPr>
          </w:p>
        </w:tc>
      </w:tr>
      <w:tr>
        <w:trPr>
          <w:trHeight w:val="222"/>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104,645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84,936</w:t>
            </w:r>
          </w:p>
        </w:tc>
        <w:tc>
          <w:tcPr>
            <w:tcW w:w="0" w:type="dxa"/>
            <w:vAlign w:val="bottom"/>
          </w:tcPr>
          <w:p>
            <w:pPr>
              <w:spacing w:after="0"/>
              <w:rPr>
                <w:sz w:val="1"/>
                <w:szCs w:val="1"/>
                <w:color w:val="auto"/>
              </w:rPr>
            </w:pPr>
          </w:p>
        </w:tc>
      </w:tr>
      <w:tr>
        <w:trPr>
          <w:trHeight w:val="445"/>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212,978</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182,842</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3,318</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12,024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11,142</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18,882</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20,789</w:t>
            </w:r>
          </w:p>
        </w:tc>
        <w:tc>
          <w:tcPr>
            <w:tcW w:w="0" w:type="dxa"/>
            <w:vAlign w:val="bottom"/>
          </w:tcPr>
          <w:p>
            <w:pPr>
              <w:spacing w:after="0"/>
              <w:rPr>
                <w:sz w:val="1"/>
                <w:szCs w:val="1"/>
                <w:color w:val="auto"/>
              </w:rPr>
            </w:pPr>
          </w:p>
        </w:tc>
      </w:tr>
      <w:tr>
        <w:trPr>
          <w:trHeight w:val="222"/>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349,380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303,027</w:t>
            </w:r>
          </w:p>
        </w:tc>
        <w:tc>
          <w:tcPr>
            <w:tcW w:w="0" w:type="dxa"/>
            <w:vAlign w:val="bottom"/>
          </w:tcPr>
          <w:p>
            <w:pPr>
              <w:spacing w:after="0"/>
              <w:rPr>
                <w:sz w:val="1"/>
                <w:szCs w:val="1"/>
                <w:color w:val="auto"/>
              </w:rPr>
            </w:pPr>
          </w:p>
        </w:tc>
      </w:tr>
      <w:tr>
        <w:trPr>
          <w:trHeight w:val="445"/>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1,636,317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1,634,883</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(1,097,439)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(1,058,911)</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(11,112)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(10,775)</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(383,523)</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(390,813)</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144,243</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174,384</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144,243</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174,384</w:t>
            </w:r>
          </w:p>
        </w:tc>
        <w:tc>
          <w:tcPr>
            <w:tcW w:w="0" w:type="dxa"/>
            <w:vAlign w:val="bottom"/>
          </w:tcPr>
          <w:p>
            <w:pPr>
              <w:spacing w:after="0"/>
              <w:rPr>
                <w:sz w:val="1"/>
                <w:szCs w:val="1"/>
                <w:color w:val="auto"/>
              </w:rPr>
            </w:pPr>
          </w:p>
        </w:tc>
      </w:tr>
      <w:tr>
        <w:trPr>
          <w:trHeight w:val="224"/>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493,623</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477,411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Nine Months Ended</w:t>
      </w:r>
    </w:p>
    <w:p>
      <w:pPr>
        <w:jc w:val="center"/>
        <w:ind w:left="5800"/>
        <w:spacing w:after="0"/>
        <w:rPr>
          <w:sz w:val="20"/>
          <w:szCs w:val="20"/>
          <w:color w:val="auto"/>
        </w:rPr>
      </w:pPr>
      <w:r>
        <w:rPr>
          <w:rFonts w:ascii="Arial" w:cs="Arial" w:eastAsia="Arial" w:hAnsi="Arial"/>
          <w:sz w:val="16"/>
          <w:szCs w:val="16"/>
          <w:b w:val="1"/>
          <w:bCs w:val="1"/>
          <w:color w:val="auto"/>
        </w:rPr>
        <w:t>September 30,</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491"/>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(1,137)</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(13,617)</w:t>
            </w:r>
          </w:p>
        </w:tc>
      </w:tr>
      <w:tr>
        <w:trPr>
          <w:trHeight w:val="418"/>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49,349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54,092</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benefit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(2,642)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(3,349)</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2,260</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(1,736)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for credit losses, net of recoveries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2,335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1,214</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(31,711)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(11,411)</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2,041</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17,204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2,613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(13,905)</w:t>
            </w:r>
          </w:p>
        </w:tc>
      </w:tr>
      <w:tr>
        <w:trPr>
          <w:trHeight w:val="258"/>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and noncurrent assets and liabilities,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(12,261)</w:t>
            </w:r>
          </w:p>
        </w:tc>
      </w:tr>
      <w:tr>
        <w:trPr>
          <w:trHeight w:val="236"/>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28,317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3,072</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(13,241)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(15,380)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Acquisitions and related payments</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(72,002)</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2,626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1,433</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(10,615)</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(85,949)</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Convertible note borrowings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115,000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(77,391)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140,797</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(8,211)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(3,437)</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(36,645)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(48,684)</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(used in) financing activities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(7,584)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87,608</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w:t>
            </w:r>
          </w:p>
        </w:tc>
      </w:tr>
      <w:tr>
        <w:trPr>
          <w:trHeight w:val="235"/>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9,843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6,799</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14,439</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5,204</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24,282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12,003</w:t>
            </w:r>
          </w:p>
        </w:tc>
      </w:tr>
      <w:tr>
        <w:trPr>
          <w:trHeight w:val="21"/>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2025</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2025</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129,516</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124,460</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377,980</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340,778</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63,585</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46,031</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167,805</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136,451</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36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193,101</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170,491</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545,785</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477,229</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23,176</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25,275</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67,512</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66,485</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11,076</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7,230</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20,630</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11,796</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(5,248)</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(5,516)</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(17,238)</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(19,457)</w:t>
            </w:r>
          </w:p>
        </w:tc>
        <w:tc>
          <w:tcPr>
            <w:tcW w:w="0" w:type="dxa"/>
            <w:vAlign w:val="bottom"/>
          </w:tcPr>
          <w:p>
            <w:pPr>
              <w:spacing w:after="0"/>
              <w:rPr>
                <w:sz w:val="1"/>
                <w:szCs w:val="1"/>
                <w:color w:val="auto"/>
              </w:rPr>
            </w:pPr>
          </w:p>
        </w:tc>
      </w:tr>
      <w:tr>
        <w:trPr>
          <w:trHeight w:val="224"/>
        </w:trPr>
        <w:tc>
          <w:tcPr>
            <w:tcW w:w="336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29,004</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26,989</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70,904</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58,824</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23,201</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25,042</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67,026</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66,280</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11,110</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7,581</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22,249</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13,665</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(13,314)</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(13,179)</w:t>
            </w:r>
          </w:p>
        </w:tc>
        <w:tc>
          <w:tcPr>
            <w:tcW w:w="0" w:type="dxa"/>
            <w:vAlign w:val="bottom"/>
          </w:tcPr>
          <w:p>
            <w:pPr>
              <w:spacing w:after="0"/>
              <w:rPr>
                <w:sz w:val="1"/>
                <w:szCs w:val="1"/>
                <w:color w:val="auto"/>
              </w:rPr>
            </w:pPr>
          </w:p>
        </w:tc>
      </w:tr>
      <w:tr>
        <w:trPr>
          <w:trHeight w:val="224"/>
        </w:trPr>
        <w:tc>
          <w:tcPr>
            <w:tcW w:w="336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30,057</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28,610</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75,961</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66,766</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14,760</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15,349</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41,076</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39,719</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3,798</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(2,260)</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(15,913)</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(5,258)</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(5,556)</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(17,301)</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(19,556)</w:t>
            </w:r>
          </w:p>
        </w:tc>
        <w:tc>
          <w:tcPr>
            <w:tcW w:w="0" w:type="dxa"/>
            <w:vAlign w:val="bottom"/>
          </w:tcPr>
          <w:p>
            <w:pPr>
              <w:spacing w:after="0"/>
              <w:rPr>
                <w:sz w:val="1"/>
                <w:szCs w:val="1"/>
                <w:color w:val="auto"/>
              </w:rPr>
            </w:pPr>
          </w:p>
        </w:tc>
      </w:tr>
      <w:tr>
        <w:trPr>
          <w:trHeight w:val="224"/>
        </w:trPr>
        <w:tc>
          <w:tcPr>
            <w:tcW w:w="336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13,300</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21,515</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4,250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160"/>
          </w:cols>
          <w:pgMar w:left="1380" w:top="895" w:right="1359" w:bottom="1440" w:gutter="0" w:footer="0" w:header="0"/>
        </w:sectPr>
      </w:pPr>
    </w:p>
    <w:bookmarkStart w:id="11" w:name="page12"/>
    <w:bookmarkEnd w:id="11"/>
    <w:p>
      <w:pPr>
        <w:jc w:val="center"/>
        <w:ind w:right="-5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1012"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22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4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351"/>
        </w:trPr>
        <w:tc>
          <w:tcPr>
            <w:tcW w:w="422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220" w:type="dxa"/>
            <w:vAlign w:val="bottom"/>
          </w:tcPr>
          <w:p>
            <w:pPr>
              <w:ind w:left="2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4220" w:type="dxa"/>
            <w:vAlign w:val="bottom"/>
          </w:tcPr>
          <w:p>
            <w:pPr>
              <w:ind w:left="460"/>
              <w:spacing w:after="0" w:line="178" w:lineRule="exact"/>
              <w:rPr>
                <w:sz w:val="20"/>
                <w:szCs w:val="20"/>
                <w:color w:val="auto"/>
              </w:rPr>
            </w:pPr>
            <w:r>
              <w:rPr>
                <w:rFonts w:ascii="Arial" w:cs="Arial" w:eastAsia="Arial" w:hAnsi="Arial"/>
                <w:sz w:val="16"/>
                <w:szCs w:val="16"/>
                <w:color w:val="auto"/>
              </w:rPr>
              <w:t>Accommodation and associated services revenue</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56,463</w:t>
            </w:r>
          </w:p>
        </w:tc>
        <w:tc>
          <w:tcPr>
            <w:tcW w:w="180" w:type="dxa"/>
            <w:vAlign w:val="bottom"/>
          </w:tcPr>
          <w:p>
            <w:pPr>
              <w:spacing w:after="0"/>
              <w:rPr>
                <w:sz w:val="15"/>
                <w:szCs w:val="15"/>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58,405</w:t>
            </w:r>
          </w:p>
        </w:tc>
        <w:tc>
          <w:tcPr>
            <w:tcW w:w="180" w:type="dxa"/>
            <w:vAlign w:val="bottom"/>
          </w:tcPr>
          <w:p>
            <w:pPr>
              <w:spacing w:after="0"/>
              <w:rPr>
                <w:sz w:val="15"/>
                <w:szCs w:val="15"/>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169,642</w:t>
            </w:r>
          </w:p>
        </w:tc>
        <w:tc>
          <w:tcPr>
            <w:tcW w:w="200" w:type="dxa"/>
            <w:vAlign w:val="bottom"/>
          </w:tcPr>
          <w:p>
            <w:pPr>
              <w:spacing w:after="0"/>
              <w:rPr>
                <w:sz w:val="15"/>
                <w:szCs w:val="15"/>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157,910</w:t>
            </w:r>
          </w:p>
        </w:tc>
        <w:tc>
          <w:tcPr>
            <w:tcW w:w="0" w:type="dxa"/>
            <w:vAlign w:val="bottom"/>
          </w:tcPr>
          <w:p>
            <w:pPr>
              <w:spacing w:after="0"/>
              <w:rPr>
                <w:sz w:val="1"/>
                <w:szCs w:val="1"/>
                <w:color w:val="auto"/>
              </w:rPr>
            </w:pPr>
          </w:p>
        </w:tc>
      </w:tr>
      <w:tr>
        <w:trPr>
          <w:trHeight w:val="215"/>
        </w:trPr>
        <w:tc>
          <w:tcPr>
            <w:tcW w:w="4220" w:type="dxa"/>
            <w:vAlign w:val="bottom"/>
          </w:tcPr>
          <w:p>
            <w:pPr>
              <w:ind w:left="460"/>
              <w:spacing w:after="0"/>
              <w:rPr>
                <w:sz w:val="20"/>
                <w:szCs w:val="20"/>
                <w:color w:val="auto"/>
              </w:rPr>
            </w:pPr>
            <w:r>
              <w:rPr>
                <w:rFonts w:ascii="Arial" w:cs="Arial" w:eastAsia="Arial" w:hAnsi="Arial"/>
                <w:sz w:val="16"/>
                <w:szCs w:val="16"/>
                <w:color w:val="auto"/>
              </w:rPr>
              <w:t>(1)</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460"/>
              <w:spacing w:after="0"/>
              <w:rPr>
                <w:sz w:val="20"/>
                <w:szCs w:val="20"/>
                <w:color w:val="auto"/>
              </w:rPr>
            </w:pPr>
            <w:r>
              <w:rPr>
                <w:rFonts w:ascii="Arial" w:cs="Arial" w:eastAsia="Arial" w:hAnsi="Arial"/>
                <w:sz w:val="16"/>
                <w:szCs w:val="16"/>
                <w:color w:val="auto"/>
              </w:rPr>
              <w:t>Integrated services and other services revenue (3)</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73,053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66,055</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208,338</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182,868</w:t>
            </w:r>
          </w:p>
        </w:tc>
        <w:tc>
          <w:tcPr>
            <w:tcW w:w="0" w:type="dxa"/>
            <w:vAlign w:val="bottom"/>
          </w:tcPr>
          <w:p>
            <w:pPr>
              <w:spacing w:after="0"/>
              <w:rPr>
                <w:sz w:val="1"/>
                <w:szCs w:val="1"/>
                <w:color w:val="auto"/>
              </w:rPr>
            </w:pPr>
          </w:p>
        </w:tc>
      </w:tr>
      <w:tr>
        <w:trPr>
          <w:trHeight w:val="235"/>
        </w:trPr>
        <w:tc>
          <w:tcPr>
            <w:tcW w:w="422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129,516</w:t>
            </w:r>
          </w:p>
        </w:tc>
        <w:tc>
          <w:tcPr>
            <w:tcW w:w="1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124,460</w:t>
            </w:r>
          </w:p>
        </w:tc>
        <w:tc>
          <w:tcPr>
            <w:tcW w:w="1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377,980</w:t>
            </w:r>
          </w:p>
        </w:tc>
        <w:tc>
          <w:tcPr>
            <w:tcW w:w="2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340,778</w:t>
            </w:r>
          </w:p>
        </w:tc>
        <w:tc>
          <w:tcPr>
            <w:tcW w:w="0" w:type="dxa"/>
            <w:vAlign w:val="bottom"/>
          </w:tcPr>
          <w:p>
            <w:pPr>
              <w:spacing w:after="0"/>
              <w:rPr>
                <w:sz w:val="1"/>
                <w:szCs w:val="1"/>
                <w:color w:val="auto"/>
              </w:rPr>
            </w:pPr>
          </w:p>
        </w:tc>
      </w:tr>
      <w:tr>
        <w:trPr>
          <w:trHeight w:val="364"/>
        </w:trPr>
        <w:tc>
          <w:tcPr>
            <w:tcW w:w="422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460"/>
              <w:spacing w:after="0"/>
              <w:rPr>
                <w:sz w:val="20"/>
                <w:szCs w:val="20"/>
                <w:color w:val="auto"/>
              </w:rPr>
            </w:pPr>
            <w:r>
              <w:rPr>
                <w:rFonts w:ascii="Arial" w:cs="Arial" w:eastAsia="Arial" w:hAnsi="Arial"/>
                <w:sz w:val="16"/>
                <w:szCs w:val="16"/>
                <w:color w:val="auto"/>
              </w:rPr>
              <w:t>Accommodation and associated services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28,401</w:t>
            </w:r>
          </w:p>
        </w:tc>
        <w:tc>
          <w:tcPr>
            <w:tcW w:w="18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27,779</w:t>
            </w:r>
          </w:p>
        </w:tc>
        <w:tc>
          <w:tcPr>
            <w:tcW w:w="18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85,391</w:t>
            </w:r>
          </w:p>
        </w:tc>
        <w:tc>
          <w:tcPr>
            <w:tcW w:w="20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76,740</w:t>
            </w:r>
          </w:p>
        </w:tc>
        <w:tc>
          <w:tcPr>
            <w:tcW w:w="0" w:type="dxa"/>
            <w:vAlign w:val="bottom"/>
          </w:tcPr>
          <w:p>
            <w:pPr>
              <w:spacing w:after="0"/>
              <w:rPr>
                <w:sz w:val="1"/>
                <w:szCs w:val="1"/>
                <w:color w:val="auto"/>
              </w:rPr>
            </w:pPr>
          </w:p>
        </w:tc>
      </w:tr>
      <w:tr>
        <w:trPr>
          <w:trHeight w:val="257"/>
        </w:trPr>
        <w:tc>
          <w:tcPr>
            <w:tcW w:w="4220" w:type="dxa"/>
            <w:vAlign w:val="bottom"/>
          </w:tcPr>
          <w:p>
            <w:pPr>
              <w:ind w:left="460"/>
              <w:spacing w:after="0"/>
              <w:rPr>
                <w:sz w:val="20"/>
                <w:szCs w:val="20"/>
                <w:color w:val="auto"/>
              </w:rPr>
            </w:pPr>
            <w:r>
              <w:rPr>
                <w:rFonts w:ascii="Arial" w:cs="Arial" w:eastAsia="Arial" w:hAnsi="Arial"/>
                <w:sz w:val="16"/>
                <w:szCs w:val="16"/>
                <w:color w:val="auto"/>
              </w:rPr>
              <w:t>Integrated services and other services cost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65,101</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59,469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186,646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163,283</w:t>
            </w:r>
          </w:p>
        </w:tc>
        <w:tc>
          <w:tcPr>
            <w:tcW w:w="0" w:type="dxa"/>
            <w:vAlign w:val="bottom"/>
          </w:tcPr>
          <w:p>
            <w:pPr>
              <w:spacing w:after="0"/>
              <w:rPr>
                <w:sz w:val="1"/>
                <w:szCs w:val="1"/>
                <w:color w:val="auto"/>
              </w:rPr>
            </w:pPr>
          </w:p>
        </w:tc>
      </w:tr>
      <w:tr>
        <w:trPr>
          <w:trHeight w:val="257"/>
        </w:trPr>
        <w:tc>
          <w:tcPr>
            <w:tcW w:w="422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12,140</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10,198</w:t>
            </w:r>
          </w:p>
        </w:tc>
        <w:tc>
          <w:tcPr>
            <w:tcW w:w="0" w:type="dxa"/>
            <w:vAlign w:val="bottom"/>
          </w:tcPr>
          <w:p>
            <w:pPr>
              <w:spacing w:after="0"/>
              <w:rPr>
                <w:sz w:val="1"/>
                <w:szCs w:val="1"/>
                <w:color w:val="auto"/>
              </w:rPr>
            </w:pPr>
          </w:p>
        </w:tc>
      </w:tr>
      <w:tr>
        <w:trPr>
          <w:trHeight w:val="236"/>
        </w:trPr>
        <w:tc>
          <w:tcPr>
            <w:tcW w:w="4220" w:type="dxa"/>
            <w:vAlign w:val="bottom"/>
          </w:tcPr>
          <w:p>
            <w:pPr>
              <w:ind w:left="660"/>
              <w:spacing w:after="0"/>
              <w:rPr>
                <w:sz w:val="20"/>
                <w:szCs w:val="20"/>
                <w:color w:val="auto"/>
              </w:rPr>
            </w:pPr>
            <w:r>
              <w:rPr>
                <w:rFonts w:ascii="Arial" w:cs="Arial" w:eastAsia="Arial" w:hAnsi="Arial"/>
                <w:sz w:val="16"/>
                <w:szCs w:val="16"/>
                <w:color w:val="auto"/>
              </w:rPr>
              <w:t>Total Australian cost of sales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97,595</w:t>
            </w:r>
          </w:p>
        </w:tc>
        <w:tc>
          <w:tcPr>
            <w:tcW w:w="1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91,024</w:t>
            </w:r>
          </w:p>
        </w:tc>
        <w:tc>
          <w:tcPr>
            <w:tcW w:w="1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284,177</w:t>
            </w:r>
          </w:p>
        </w:tc>
        <w:tc>
          <w:tcPr>
            <w:tcW w:w="2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250,221</w:t>
            </w:r>
          </w:p>
        </w:tc>
        <w:tc>
          <w:tcPr>
            <w:tcW w:w="0" w:type="dxa"/>
            <w:vAlign w:val="bottom"/>
          </w:tcPr>
          <w:p>
            <w:pPr>
              <w:spacing w:after="0"/>
              <w:rPr>
                <w:sz w:val="1"/>
                <w:szCs w:val="1"/>
                <w:color w:val="auto"/>
              </w:rPr>
            </w:pPr>
          </w:p>
        </w:tc>
      </w:tr>
      <w:tr>
        <w:trPr>
          <w:trHeight w:val="364"/>
        </w:trPr>
        <w:tc>
          <w:tcPr>
            <w:tcW w:w="422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65"/>
        </w:trPr>
        <w:tc>
          <w:tcPr>
            <w:tcW w:w="4220" w:type="dxa"/>
            <w:vAlign w:val="bottom"/>
          </w:tcPr>
          <w:p>
            <w:pPr>
              <w:ind w:left="24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668,855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762,974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2,018,863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2,079,116</w:t>
            </w:r>
          </w:p>
        </w:tc>
        <w:tc>
          <w:tcPr>
            <w:tcW w:w="0" w:type="dxa"/>
            <w:vAlign w:val="bottom"/>
          </w:tcPr>
          <w:p>
            <w:pPr>
              <w:spacing w:after="0"/>
              <w:rPr>
                <w:sz w:val="1"/>
                <w:szCs w:val="1"/>
                <w:color w:val="auto"/>
              </w:rPr>
            </w:pPr>
          </w:p>
        </w:tc>
      </w:tr>
      <w:tr>
        <w:trPr>
          <w:trHeight w:val="364"/>
        </w:trPr>
        <w:tc>
          <w:tcPr>
            <w:tcW w:w="422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0.707</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0.654</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0.704</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0.641</w:t>
            </w:r>
          </w:p>
        </w:tc>
        <w:tc>
          <w:tcPr>
            <w:tcW w:w="0" w:type="dxa"/>
            <w:vAlign w:val="bottom"/>
          </w:tcPr>
          <w:p>
            <w:pPr>
              <w:spacing w:after="0"/>
              <w:rPr>
                <w:sz w:val="1"/>
                <w:szCs w:val="1"/>
                <w:color w:val="auto"/>
              </w:rPr>
            </w:pPr>
          </w:p>
        </w:tc>
      </w:tr>
      <w:tr>
        <w:trPr>
          <w:trHeight w:val="629"/>
        </w:trPr>
        <w:tc>
          <w:tcPr>
            <w:tcW w:w="422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220" w:type="dxa"/>
            <w:vAlign w:val="bottom"/>
          </w:tcPr>
          <w:p>
            <w:pPr>
              <w:ind w:left="2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4220" w:type="dxa"/>
            <w:vAlign w:val="bottom"/>
          </w:tcPr>
          <w:p>
            <w:pPr>
              <w:ind w:left="460"/>
              <w:spacing w:after="0" w:line="178" w:lineRule="exact"/>
              <w:rPr>
                <w:sz w:val="20"/>
                <w:szCs w:val="20"/>
                <w:color w:val="auto"/>
              </w:rPr>
            </w:pPr>
            <w:r>
              <w:rPr>
                <w:rFonts w:ascii="Arial" w:cs="Arial" w:eastAsia="Arial" w:hAnsi="Arial"/>
                <w:sz w:val="16"/>
                <w:szCs w:val="16"/>
                <w:color w:val="auto"/>
              </w:rPr>
              <w:t>Accommodation and associated services revenue</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50,599</w:t>
            </w:r>
          </w:p>
        </w:tc>
        <w:tc>
          <w:tcPr>
            <w:tcW w:w="180" w:type="dxa"/>
            <w:vAlign w:val="bottom"/>
          </w:tcPr>
          <w:p>
            <w:pPr>
              <w:spacing w:after="0"/>
              <w:rPr>
                <w:sz w:val="15"/>
                <w:szCs w:val="15"/>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38,684</w:t>
            </w:r>
          </w:p>
        </w:tc>
        <w:tc>
          <w:tcPr>
            <w:tcW w:w="180" w:type="dxa"/>
            <w:vAlign w:val="bottom"/>
          </w:tcPr>
          <w:p>
            <w:pPr>
              <w:spacing w:after="0"/>
              <w:rPr>
                <w:sz w:val="15"/>
                <w:szCs w:val="15"/>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137,815</w:t>
            </w:r>
          </w:p>
        </w:tc>
        <w:tc>
          <w:tcPr>
            <w:tcW w:w="200" w:type="dxa"/>
            <w:vAlign w:val="bottom"/>
          </w:tcPr>
          <w:p>
            <w:pPr>
              <w:spacing w:after="0"/>
              <w:rPr>
                <w:sz w:val="15"/>
                <w:szCs w:val="15"/>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114,710</w:t>
            </w:r>
          </w:p>
        </w:tc>
        <w:tc>
          <w:tcPr>
            <w:tcW w:w="0" w:type="dxa"/>
            <w:vAlign w:val="bottom"/>
          </w:tcPr>
          <w:p>
            <w:pPr>
              <w:spacing w:after="0"/>
              <w:rPr>
                <w:sz w:val="1"/>
                <w:szCs w:val="1"/>
                <w:color w:val="auto"/>
              </w:rPr>
            </w:pPr>
          </w:p>
        </w:tc>
      </w:tr>
      <w:tr>
        <w:trPr>
          <w:trHeight w:val="215"/>
        </w:trPr>
        <w:tc>
          <w:tcPr>
            <w:tcW w:w="4220" w:type="dxa"/>
            <w:vAlign w:val="bottom"/>
          </w:tcPr>
          <w:p>
            <w:pPr>
              <w:ind w:left="460"/>
              <w:spacing w:after="0"/>
              <w:rPr>
                <w:sz w:val="20"/>
                <w:szCs w:val="20"/>
                <w:color w:val="auto"/>
              </w:rPr>
            </w:pPr>
            <w:r>
              <w:rPr>
                <w:rFonts w:ascii="Arial" w:cs="Arial" w:eastAsia="Arial" w:hAnsi="Arial"/>
                <w:sz w:val="16"/>
                <w:szCs w:val="16"/>
                <w:color w:val="auto"/>
              </w:rPr>
              <w:t>(1)</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20" w:type="dxa"/>
            <w:vAlign w:val="bottom"/>
          </w:tcPr>
          <w:p>
            <w:pPr>
              <w:ind w:left="460"/>
              <w:spacing w:after="0" w:line="177" w:lineRule="exact"/>
              <w:rPr>
                <w:sz w:val="20"/>
                <w:szCs w:val="20"/>
                <w:color w:val="auto"/>
              </w:rPr>
            </w:pPr>
            <w:r>
              <w:rPr>
                <w:rFonts w:ascii="Arial" w:cs="Arial" w:eastAsia="Arial" w:hAnsi="Arial"/>
                <w:sz w:val="16"/>
                <w:szCs w:val="16"/>
                <w:color w:val="auto"/>
              </w:rPr>
              <w:t>Mobile facility rental and associated services</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1,195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393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2,600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5"/>
        </w:trPr>
        <w:tc>
          <w:tcPr>
            <w:tcW w:w="4220" w:type="dxa"/>
            <w:vAlign w:val="bottom"/>
          </w:tcPr>
          <w:p>
            <w:pPr>
              <w:ind w:left="460"/>
              <w:spacing w:after="0"/>
              <w:rPr>
                <w:sz w:val="20"/>
                <w:szCs w:val="20"/>
                <w:color w:val="auto"/>
              </w:rPr>
            </w:pPr>
            <w:r>
              <w:rPr>
                <w:rFonts w:ascii="Arial" w:cs="Arial" w:eastAsia="Arial" w:hAnsi="Arial"/>
                <w:sz w:val="16"/>
                <w:szCs w:val="16"/>
                <w:color w:val="auto"/>
              </w:rPr>
              <w:t>revenue (2)</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460"/>
              <w:spacing w:after="0"/>
              <w:rPr>
                <w:sz w:val="20"/>
                <w:szCs w:val="20"/>
                <w:color w:val="auto"/>
              </w:rPr>
            </w:pPr>
            <w:r>
              <w:rPr>
                <w:rFonts w:ascii="Arial" w:cs="Arial" w:eastAsia="Arial" w:hAnsi="Arial"/>
                <w:sz w:val="16"/>
                <w:szCs w:val="16"/>
                <w:color w:val="auto"/>
              </w:rPr>
              <w:t>Integrated services and other services revenue (3)</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6,954</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27,390</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20,695</w:t>
            </w:r>
          </w:p>
        </w:tc>
        <w:tc>
          <w:tcPr>
            <w:tcW w:w="0" w:type="dxa"/>
            <w:vAlign w:val="bottom"/>
          </w:tcPr>
          <w:p>
            <w:pPr>
              <w:spacing w:after="0"/>
              <w:rPr>
                <w:sz w:val="1"/>
                <w:szCs w:val="1"/>
                <w:color w:val="auto"/>
              </w:rPr>
            </w:pPr>
          </w:p>
        </w:tc>
      </w:tr>
      <w:tr>
        <w:trPr>
          <w:trHeight w:val="235"/>
        </w:trPr>
        <w:tc>
          <w:tcPr>
            <w:tcW w:w="422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63,585</w:t>
            </w:r>
          </w:p>
        </w:tc>
        <w:tc>
          <w:tcPr>
            <w:tcW w:w="1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46,031</w:t>
            </w:r>
          </w:p>
        </w:tc>
        <w:tc>
          <w:tcPr>
            <w:tcW w:w="1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167,805</w:t>
            </w:r>
          </w:p>
        </w:tc>
        <w:tc>
          <w:tcPr>
            <w:tcW w:w="2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136,451</w:t>
            </w:r>
          </w:p>
        </w:tc>
        <w:tc>
          <w:tcPr>
            <w:tcW w:w="0" w:type="dxa"/>
            <w:vAlign w:val="bottom"/>
          </w:tcPr>
          <w:p>
            <w:pPr>
              <w:spacing w:after="0"/>
              <w:rPr>
                <w:sz w:val="1"/>
                <w:szCs w:val="1"/>
                <w:color w:val="auto"/>
              </w:rPr>
            </w:pPr>
          </w:p>
        </w:tc>
      </w:tr>
      <w:tr>
        <w:trPr>
          <w:trHeight w:val="365"/>
        </w:trPr>
        <w:tc>
          <w:tcPr>
            <w:tcW w:w="422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460"/>
              <w:spacing w:after="0"/>
              <w:rPr>
                <w:sz w:val="20"/>
                <w:szCs w:val="20"/>
                <w:color w:val="auto"/>
              </w:rPr>
            </w:pPr>
            <w:r>
              <w:rPr>
                <w:rFonts w:ascii="Arial" w:cs="Arial" w:eastAsia="Arial" w:hAnsi="Arial"/>
                <w:sz w:val="16"/>
                <w:szCs w:val="16"/>
                <w:color w:val="auto"/>
              </w:rPr>
              <w:t>Accommodation and associated services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34,338</w:t>
            </w:r>
          </w:p>
        </w:tc>
        <w:tc>
          <w:tcPr>
            <w:tcW w:w="18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27,107</w:t>
            </w:r>
          </w:p>
        </w:tc>
        <w:tc>
          <w:tcPr>
            <w:tcW w:w="18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97,878</w:t>
            </w:r>
          </w:p>
        </w:tc>
        <w:tc>
          <w:tcPr>
            <w:tcW w:w="20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86,590</w:t>
            </w:r>
          </w:p>
        </w:tc>
        <w:tc>
          <w:tcPr>
            <w:tcW w:w="0" w:type="dxa"/>
            <w:vAlign w:val="bottom"/>
          </w:tcPr>
          <w:p>
            <w:pPr>
              <w:spacing w:after="0"/>
              <w:rPr>
                <w:sz w:val="1"/>
                <w:szCs w:val="1"/>
                <w:color w:val="auto"/>
              </w:rPr>
            </w:pPr>
          </w:p>
        </w:tc>
      </w:tr>
      <w:tr>
        <w:trPr>
          <w:trHeight w:val="256"/>
        </w:trPr>
        <w:tc>
          <w:tcPr>
            <w:tcW w:w="4220" w:type="dxa"/>
            <w:vAlign w:val="bottom"/>
          </w:tcPr>
          <w:p>
            <w:pPr>
              <w:ind w:left="460"/>
              <w:spacing w:after="0"/>
              <w:rPr>
                <w:sz w:val="20"/>
                <w:szCs w:val="20"/>
                <w:color w:val="auto"/>
              </w:rPr>
            </w:pPr>
            <w:r>
              <w:rPr>
                <w:rFonts w:ascii="Arial" w:cs="Arial" w:eastAsia="Arial" w:hAnsi="Arial"/>
                <w:sz w:val="16"/>
                <w:szCs w:val="16"/>
                <w:color w:val="auto"/>
              </w:rPr>
              <w:t>Mobile facility rental and associated services cost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57"/>
        </w:trPr>
        <w:tc>
          <w:tcPr>
            <w:tcW w:w="4220" w:type="dxa"/>
            <w:vAlign w:val="bottom"/>
          </w:tcPr>
          <w:p>
            <w:pPr>
              <w:ind w:left="460"/>
              <w:spacing w:after="0"/>
              <w:rPr>
                <w:sz w:val="20"/>
                <w:szCs w:val="20"/>
                <w:color w:val="auto"/>
              </w:rPr>
            </w:pPr>
            <w:r>
              <w:rPr>
                <w:rFonts w:ascii="Arial" w:cs="Arial" w:eastAsia="Arial" w:hAnsi="Arial"/>
                <w:sz w:val="16"/>
                <w:szCs w:val="16"/>
                <w:color w:val="auto"/>
              </w:rPr>
              <w:t>Integrated services and other services cost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11,889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6,547</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27,544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19,257</w:t>
            </w:r>
          </w:p>
        </w:tc>
        <w:tc>
          <w:tcPr>
            <w:tcW w:w="0" w:type="dxa"/>
            <w:vAlign w:val="bottom"/>
          </w:tcPr>
          <w:p>
            <w:pPr>
              <w:spacing w:after="0"/>
              <w:rPr>
                <w:sz w:val="1"/>
                <w:szCs w:val="1"/>
                <w:color w:val="auto"/>
              </w:rPr>
            </w:pPr>
          </w:p>
        </w:tc>
      </w:tr>
      <w:tr>
        <w:trPr>
          <w:trHeight w:val="257"/>
        </w:trPr>
        <w:tc>
          <w:tcPr>
            <w:tcW w:w="422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1,970</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236"/>
        </w:trPr>
        <w:tc>
          <w:tcPr>
            <w:tcW w:w="4220" w:type="dxa"/>
            <w:vAlign w:val="bottom"/>
          </w:tcPr>
          <w:p>
            <w:pPr>
              <w:ind w:left="660"/>
              <w:spacing w:after="0"/>
              <w:rPr>
                <w:sz w:val="20"/>
                <w:szCs w:val="20"/>
                <w:color w:val="auto"/>
              </w:rPr>
            </w:pPr>
            <w:r>
              <w:rPr>
                <w:rFonts w:ascii="Arial" w:cs="Arial" w:eastAsia="Arial" w:hAnsi="Arial"/>
                <w:sz w:val="16"/>
                <w:szCs w:val="16"/>
                <w:color w:val="auto"/>
              </w:rPr>
              <w:t>Total Canadian cost of sales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49,181</w:t>
            </w:r>
          </w:p>
        </w:tc>
        <w:tc>
          <w:tcPr>
            <w:tcW w:w="1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35,660</w:t>
            </w:r>
          </w:p>
        </w:tc>
        <w:tc>
          <w:tcPr>
            <w:tcW w:w="1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133,466</w:t>
            </w:r>
          </w:p>
        </w:tc>
        <w:tc>
          <w:tcPr>
            <w:tcW w:w="2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112,342</w:t>
            </w:r>
          </w:p>
        </w:tc>
        <w:tc>
          <w:tcPr>
            <w:tcW w:w="0" w:type="dxa"/>
            <w:vAlign w:val="bottom"/>
          </w:tcPr>
          <w:p>
            <w:pPr>
              <w:spacing w:after="0"/>
              <w:rPr>
                <w:sz w:val="1"/>
                <w:szCs w:val="1"/>
                <w:color w:val="auto"/>
              </w:rPr>
            </w:pPr>
          </w:p>
        </w:tc>
      </w:tr>
      <w:tr>
        <w:trPr>
          <w:trHeight w:val="310"/>
        </w:trPr>
        <w:tc>
          <w:tcPr>
            <w:tcW w:w="422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51"/>
        </w:trPr>
        <w:tc>
          <w:tcPr>
            <w:tcW w:w="4220" w:type="dxa"/>
            <w:vAlign w:val="bottom"/>
          </w:tcPr>
          <w:p>
            <w:pPr>
              <w:ind w:left="24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516,317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382,660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1,407,927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1,191,327</w:t>
            </w:r>
          </w:p>
        </w:tc>
        <w:tc>
          <w:tcPr>
            <w:tcW w:w="0" w:type="dxa"/>
            <w:vAlign w:val="bottom"/>
          </w:tcPr>
          <w:p>
            <w:pPr>
              <w:spacing w:after="0"/>
              <w:rPr>
                <w:sz w:val="1"/>
                <w:szCs w:val="1"/>
                <w:color w:val="auto"/>
              </w:rPr>
            </w:pPr>
          </w:p>
        </w:tc>
      </w:tr>
      <w:tr>
        <w:trPr>
          <w:trHeight w:val="365"/>
        </w:trPr>
        <w:tc>
          <w:tcPr>
            <w:tcW w:w="4220" w:type="dxa"/>
            <w:vAlign w:val="bottom"/>
          </w:tcPr>
          <w:p>
            <w:pPr>
              <w:ind w:left="24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0.715</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0.726</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0.722</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0.715</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village and lodge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8" w:lineRule="exact"/>
        <w:rPr>
          <w:rFonts w:ascii="Arial" w:cs="Arial" w:eastAsia="Arial" w:hAnsi="Arial"/>
          <w:sz w:val="16"/>
          <w:szCs w:val="16"/>
          <w:color w:val="auto"/>
        </w:rPr>
      </w:pPr>
    </w:p>
    <w:p>
      <w:pPr>
        <w:ind w:left="332" w:hanging="332"/>
        <w:spacing w:after="0" w:line="252"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food service and other services, including laundry, facilities management and water and wastewater treatment services, for the periods presented.</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 in our owned villages and lodges.</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172"/>
          </w:cols>
          <w:pgMar w:left="328" w:top="89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SUPPLEMENTAL OPERATIONS BY SERVICE TYPE BY REGION DATA</w:t>
      </w:r>
    </w:p>
    <w:p>
      <w:pPr>
        <w:sectPr>
          <w:pgSz w:w="11900" w:h="16838" w:orient="portrait"/>
          <w:cols w:equalWidth="0" w:num="1">
            <w:col w:w="11172"/>
          </w:cols>
          <w:pgMar w:left="328" w:top="895" w:right="39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(U.S. dollars 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7"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The following table sets forth certain supplemental data for our Australia and Canada segment revenues attributable to the asset-light (“Catering and Facility Management”) portion of the Company’s business and the asset-intensive (“Accommodations and Infrastructure”) portion of the Company’s business. We provide Catering and Facility Management services to both customer-owned assets and Company-</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owned villages and lodges. When we provide Catering and Facility Management services to customer-owned assets, it is reflected in “Food and other services” in our Supplemental Quarterly Segment and Operating Data. However, when we provide those same services to</w:t>
      </w:r>
    </w:p>
    <w:p>
      <w:pPr>
        <w:spacing w:after="0" w:line="2"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customers at our owned villages and lodges, it is reflected in “Accommodation and other services”, which also includes the Accommodations and Infrastructure component of our owned villages and lodges. This is because we bill our customers in one combined rate for both Accommodations and Infrastructure services and Catering and Facility Management services at Company-owned villages and lodges.</w:t>
      </w:r>
    </w:p>
    <w:p>
      <w:pPr>
        <w:spacing w:after="0" w:line="18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purpose of the disclosure below is to disaggregate the embedded Catering and Facility Management revenues from the “Accommodation and other services” revenues associated with our owned villages and lodges that are included in our Supplemental Quarterly Segment and Operating Data. To do so, we apply a margin that is equal to Civeo’s margin in similar services we provide to customer-owned assets to the cost of sales that are associated with Catering and Facility Management services within “Accommodation and other services” for our owned villages and lodges. This table provides investors a supplemental view of the services provided by the Company which could assist with their valuation analysis.</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10"/>
          </w:tcPr>
          <w:p>
            <w:pPr>
              <w:jc w:val="right"/>
              <w:ind w:right="401"/>
              <w:spacing w:after="0"/>
              <w:rPr>
                <w:sz w:val="20"/>
                <w:szCs w:val="20"/>
                <w:color w:val="auto"/>
              </w:rPr>
            </w:pPr>
            <w:r>
              <w:rPr>
                <w:rFonts w:ascii="Arial" w:cs="Arial" w:eastAsia="Arial" w:hAnsi="Arial"/>
                <w:sz w:val="14"/>
                <w:szCs w:val="14"/>
                <w:b w:val="1"/>
                <w:bCs w:val="1"/>
                <w:color w:val="auto"/>
              </w:rPr>
              <w:t>Three months ended September 30, 2026</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10"/>
          </w:tcPr>
          <w:p>
            <w:pPr>
              <w:jc w:val="right"/>
              <w:ind w:right="421"/>
              <w:spacing w:after="0"/>
              <w:rPr>
                <w:sz w:val="20"/>
                <w:szCs w:val="20"/>
                <w:color w:val="auto"/>
              </w:rPr>
            </w:pPr>
            <w:r>
              <w:rPr>
                <w:rFonts w:ascii="Arial" w:cs="Arial" w:eastAsia="Arial" w:hAnsi="Arial"/>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Australia</w:t>
            </w: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Canada</w:t>
            </w:r>
          </w:p>
        </w:tc>
        <w:tc>
          <w:tcPr>
            <w:tcW w:w="1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Australia</w:t>
            </w: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Canada</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6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97,194</w:t>
            </w:r>
          </w:p>
        </w:tc>
        <w:tc>
          <w:tcPr>
            <w:tcW w:w="1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37,353</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134,547</w:t>
            </w:r>
          </w:p>
        </w:tc>
        <w:tc>
          <w:tcPr>
            <w:tcW w:w="8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90,117</w:t>
            </w:r>
          </w:p>
        </w:tc>
        <w:tc>
          <w:tcPr>
            <w:tcW w:w="1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27,497</w:t>
            </w:r>
          </w:p>
        </w:tc>
        <w:tc>
          <w:tcPr>
            <w:tcW w:w="100" w:type="dxa"/>
            <w:vAlign w:val="bottom"/>
          </w:tcPr>
          <w:p>
            <w:pPr>
              <w:spacing w:after="0" w:line="20" w:lineRule="exact"/>
              <w:rPr>
                <w:sz w:val="1"/>
                <w:szCs w:val="1"/>
                <w:color w:val="auto"/>
              </w:rPr>
            </w:pPr>
          </w:p>
        </w:tc>
        <w:tc>
          <w:tcPr>
            <w:tcW w:w="640" w:type="dxa"/>
            <w:vAlign w:val="bottom"/>
            <w:vMerge w:val="restart"/>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117,614</w:t>
            </w:r>
          </w:p>
        </w:tc>
        <w:tc>
          <w:tcPr>
            <w:tcW w:w="0" w:type="dxa"/>
            <w:vAlign w:val="bottom"/>
          </w:tcPr>
          <w:p>
            <w:pPr>
              <w:spacing w:after="0" w:line="20" w:lineRule="exact"/>
              <w:rPr>
                <w:sz w:val="1"/>
                <w:szCs w:val="1"/>
                <w:color w:val="auto"/>
              </w:rPr>
            </w:pPr>
          </w:p>
        </w:tc>
      </w:tr>
      <w:tr>
        <w:trPr>
          <w:trHeight w:val="244"/>
        </w:trPr>
        <w:tc>
          <w:tcPr>
            <w:tcW w:w="3600" w:type="dxa"/>
            <w:vAlign w:val="bottom"/>
            <w:gridSpan w:val="2"/>
          </w:tcPr>
          <w:p>
            <w:pPr>
              <w:spacing w:after="0"/>
              <w:rPr>
                <w:sz w:val="20"/>
                <w:szCs w:val="20"/>
                <w:color w:val="auto"/>
              </w:rPr>
            </w:pPr>
            <w:r>
              <w:rPr>
                <w:rFonts w:ascii="Arial" w:cs="Arial" w:eastAsia="Arial" w:hAnsi="Arial"/>
                <w:sz w:val="14"/>
                <w:szCs w:val="14"/>
                <w:color w:val="auto"/>
              </w:rPr>
              <w:t>Asset Light: Catering and Facility Management</w:t>
            </w: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00" w:type="dxa"/>
            <w:vAlign w:val="bottom"/>
            <w:gridSpan w:val="2"/>
          </w:tcPr>
          <w:p>
            <w:pPr>
              <w:spacing w:after="0"/>
              <w:rPr>
                <w:sz w:val="20"/>
                <w:szCs w:val="20"/>
                <w:color w:val="auto"/>
              </w:rPr>
            </w:pPr>
            <w:r>
              <w:rPr>
                <w:rFonts w:ascii="Arial" w:cs="Arial" w:eastAsia="Arial" w:hAnsi="Arial"/>
                <w:sz w:val="14"/>
                <w:szCs w:val="14"/>
                <w:color w:val="auto"/>
              </w:rPr>
              <w:t>Asset Intensive: Accommodations and Infrastructure</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32,322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58,554</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34,343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18,534</w:t>
            </w: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52,877</w:t>
            </w:r>
          </w:p>
        </w:tc>
        <w:tc>
          <w:tcPr>
            <w:tcW w:w="0" w:type="dxa"/>
            <w:vAlign w:val="bottom"/>
          </w:tcPr>
          <w:p>
            <w:pPr>
              <w:spacing w:after="0"/>
              <w:rPr>
                <w:sz w:val="1"/>
                <w:szCs w:val="1"/>
                <w:color w:val="auto"/>
              </w:rPr>
            </w:pPr>
          </w:p>
        </w:tc>
      </w:tr>
      <w:tr>
        <w:trPr>
          <w:trHeight w:val="226"/>
        </w:trPr>
        <w:tc>
          <w:tcPr>
            <w:tcW w:w="360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129,516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193,101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46,031</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170,491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right"/>
              <w:ind w:right="441"/>
              <w:spacing w:after="0"/>
              <w:rPr>
                <w:sz w:val="20"/>
                <w:szCs w:val="20"/>
                <w:color w:val="auto"/>
              </w:rPr>
            </w:pPr>
            <w:r>
              <w:rPr>
                <w:rFonts w:ascii="Arial" w:cs="Arial" w:eastAsia="Arial" w:hAnsi="Arial"/>
                <w:sz w:val="14"/>
                <w:szCs w:val="14"/>
                <w:b w:val="1"/>
                <w:bCs w:val="1"/>
                <w:color w:val="auto"/>
              </w:rPr>
              <w:t>Nine months ended September 30, 2026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right"/>
              <w:ind w:right="461"/>
              <w:spacing w:after="0"/>
              <w:rPr>
                <w:sz w:val="20"/>
                <w:szCs w:val="20"/>
                <w:color w:val="auto"/>
              </w:rPr>
            </w:pPr>
            <w:r>
              <w:rPr>
                <w:rFonts w:ascii="Arial" w:cs="Arial" w:eastAsia="Arial" w:hAnsi="Arial"/>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Australia</w:t>
            </w: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Canada</w:t>
            </w:r>
          </w:p>
        </w:tc>
        <w:tc>
          <w:tcPr>
            <w:tcW w:w="1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Australia</w:t>
            </w: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Canada</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36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280,968</w:t>
            </w:r>
          </w:p>
        </w:tc>
        <w:tc>
          <w:tcPr>
            <w:tcW w:w="1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99,321</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380,289</w:t>
            </w:r>
          </w:p>
        </w:tc>
        <w:tc>
          <w:tcPr>
            <w:tcW w:w="8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249,409</w:t>
            </w:r>
          </w:p>
        </w:tc>
        <w:tc>
          <w:tcPr>
            <w:tcW w:w="1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83,098</w:t>
            </w:r>
          </w:p>
        </w:tc>
        <w:tc>
          <w:tcPr>
            <w:tcW w:w="100" w:type="dxa"/>
            <w:vAlign w:val="bottom"/>
          </w:tcPr>
          <w:p>
            <w:pPr>
              <w:spacing w:after="0" w:line="20" w:lineRule="exact"/>
              <w:rPr>
                <w:sz w:val="1"/>
                <w:szCs w:val="1"/>
                <w:color w:val="auto"/>
              </w:rPr>
            </w:pPr>
          </w:p>
        </w:tc>
        <w:tc>
          <w:tcPr>
            <w:tcW w:w="640" w:type="dxa"/>
            <w:vAlign w:val="bottom"/>
            <w:vMerge w:val="restart"/>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332,507</w:t>
            </w:r>
          </w:p>
        </w:tc>
        <w:tc>
          <w:tcPr>
            <w:tcW w:w="0" w:type="dxa"/>
            <w:vAlign w:val="bottom"/>
          </w:tcPr>
          <w:p>
            <w:pPr>
              <w:spacing w:after="0" w:line="20" w:lineRule="exact"/>
              <w:rPr>
                <w:sz w:val="1"/>
                <w:szCs w:val="1"/>
                <w:color w:val="auto"/>
              </w:rPr>
            </w:pPr>
          </w:p>
        </w:tc>
      </w:tr>
      <w:tr>
        <w:trPr>
          <w:trHeight w:val="244"/>
        </w:trPr>
        <w:tc>
          <w:tcPr>
            <w:tcW w:w="3600" w:type="dxa"/>
            <w:vAlign w:val="bottom"/>
            <w:gridSpan w:val="2"/>
          </w:tcPr>
          <w:p>
            <w:pPr>
              <w:spacing w:after="0"/>
              <w:rPr>
                <w:sz w:val="20"/>
                <w:szCs w:val="20"/>
                <w:color w:val="auto"/>
              </w:rPr>
            </w:pPr>
            <w:r>
              <w:rPr>
                <w:rFonts w:ascii="Arial" w:cs="Arial" w:eastAsia="Arial" w:hAnsi="Arial"/>
                <w:sz w:val="14"/>
                <w:szCs w:val="14"/>
                <w:color w:val="auto"/>
              </w:rPr>
              <w:t>Asset Light: Catering and Facility Management</w:t>
            </w:r>
          </w:p>
        </w:tc>
        <w:tc>
          <w:tcPr>
            <w:tcW w:w="10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600" w:type="dxa"/>
            <w:vAlign w:val="bottom"/>
            <w:gridSpan w:val="2"/>
          </w:tcPr>
          <w:p>
            <w:pPr>
              <w:spacing w:after="0"/>
              <w:rPr>
                <w:sz w:val="20"/>
                <w:szCs w:val="20"/>
                <w:color w:val="auto"/>
              </w:rPr>
            </w:pPr>
            <w:r>
              <w:rPr>
                <w:rFonts w:ascii="Arial" w:cs="Arial" w:eastAsia="Arial" w:hAnsi="Arial"/>
                <w:sz w:val="14"/>
                <w:szCs w:val="14"/>
                <w:color w:val="auto"/>
              </w:rPr>
              <w:t>Asset Intensive: Accommodations and Infrastructure</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97,012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68,484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165,496</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91,369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53,353</w:t>
            </w: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144,722</w:t>
            </w:r>
          </w:p>
        </w:tc>
        <w:tc>
          <w:tcPr>
            <w:tcW w:w="0" w:type="dxa"/>
            <w:vAlign w:val="bottom"/>
          </w:tcPr>
          <w:p>
            <w:pPr>
              <w:spacing w:after="0"/>
              <w:rPr>
                <w:sz w:val="1"/>
                <w:szCs w:val="1"/>
                <w:color w:val="auto"/>
              </w:rPr>
            </w:pPr>
          </w:p>
        </w:tc>
      </w:tr>
      <w:tr>
        <w:trPr>
          <w:trHeight w:val="226"/>
        </w:trPr>
        <w:tc>
          <w:tcPr>
            <w:tcW w:w="360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377,980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545,785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136,451</w:t>
            </w:r>
          </w:p>
        </w:tc>
        <w:tc>
          <w:tcPr>
            <w:tcW w:w="100" w:type="dxa"/>
            <w:vAlign w:val="bottom"/>
          </w:tcPr>
          <w:p>
            <w:pPr>
              <w:spacing w:after="0"/>
              <w:rPr>
                <w:sz w:val="19"/>
                <w:szCs w:val="19"/>
                <w:color w:val="auto"/>
              </w:rPr>
            </w:pPr>
          </w:p>
        </w:tc>
        <w:tc>
          <w:tcPr>
            <w:tcW w:w="6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477,229</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13" w:name="page14"/>
    <w:bookmarkEnd w:id="13"/>
    <w:p>
      <w:pPr>
        <w:jc w:val="center"/>
        <w:ind w:right="-7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1252"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22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144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Ended September</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9"/>
                <w:szCs w:val="19"/>
                <w:color w:val="auto"/>
              </w:rPr>
            </w:pPr>
          </w:p>
        </w:tc>
        <w:tc>
          <w:tcPr>
            <w:tcW w:w="222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9"/>
                <w:szCs w:val="19"/>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63"/>
        </w:trPr>
        <w:tc>
          <w:tcPr>
            <w:tcW w:w="2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504"/>
        </w:trPr>
        <w:tc>
          <w:tcPr>
            <w:tcW w:w="242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29,004</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26,989</w:t>
            </w:r>
          </w:p>
        </w:tc>
        <w:tc>
          <w:tcPr>
            <w:tcW w:w="16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70,904</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58,824</w:t>
            </w:r>
          </w:p>
        </w:tc>
        <w:tc>
          <w:tcPr>
            <w:tcW w:w="16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89,501</w:t>
            </w: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30,057</w:t>
            </w:r>
          </w:p>
        </w:tc>
        <w:tc>
          <w:tcPr>
            <w:tcW w:w="18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28,610</w:t>
            </w:r>
          </w:p>
        </w:tc>
        <w:tc>
          <w:tcPr>
            <w:tcW w:w="16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75,961</w:t>
            </w:r>
          </w:p>
        </w:tc>
        <w:tc>
          <w:tcPr>
            <w:tcW w:w="18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66,766</w:t>
            </w:r>
          </w:p>
        </w:tc>
        <w:tc>
          <w:tcPr>
            <w:tcW w:w="16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97,796</w:t>
            </w: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0"/>
                <w:szCs w:val="20"/>
                <w:color w:val="auto"/>
              </w:rPr>
            </w:pPr>
            <w:r>
              <w:rPr>
                <w:rFonts w:ascii="Arial" w:cs="Arial" w:eastAsia="Arial" w:hAnsi="Arial"/>
                <w:sz w:val="16"/>
                <w:szCs w:val="16"/>
                <w:color w:val="auto"/>
              </w:rPr>
              <w:t>Total Net Leverage Ratio (2)</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2.1x</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32" w:right="2220" w:hanging="332"/>
        <w:spacing w:after="0" w:line="253"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 defined as EBITDA adjusted to exclude certain other unusual or non-operating items. Beginning with the third quarter of</w:t>
      </w:r>
    </w:p>
    <w:p>
      <w:pPr>
        <w:spacing w:after="0" w:line="1" w:lineRule="exact"/>
        <w:rPr>
          <w:rFonts w:ascii="Arial" w:cs="Arial" w:eastAsia="Arial" w:hAnsi="Arial"/>
          <w:sz w:val="16"/>
          <w:szCs w:val="16"/>
          <w:color w:val="auto"/>
        </w:rPr>
      </w:pPr>
    </w:p>
    <w:p>
      <w:pPr>
        <w:ind w:left="332"/>
        <w:spacing w:after="0" w:line="238" w:lineRule="auto"/>
        <w:rPr>
          <w:rFonts w:ascii="Arial" w:cs="Arial" w:eastAsia="Arial" w:hAnsi="Arial"/>
          <w:sz w:val="16"/>
          <w:szCs w:val="16"/>
          <w:color w:val="auto"/>
        </w:rPr>
      </w:pPr>
      <w:r>
        <w:rPr>
          <w:rFonts w:ascii="Arial" w:cs="Arial" w:eastAsia="Arial" w:hAnsi="Arial"/>
          <w:sz w:val="16"/>
          <w:szCs w:val="16"/>
          <w:color w:val="auto"/>
        </w:rPr>
        <w:t>2026, Civeo revised its definition of Adjusted EBITDA to exclude foreign currency (gains) losses, net. Following the issuance of the Company’s convertible senior notes in July 2026, foreign currency (gains) losses may introduce increased variability into the Company’s reported results that does not reflect its underlying operating performance. Management believes that excluding this item provides investors with a clearer understanding of the Company’s underlying operating performance and enhances comparability between periods. Prior periods presented have been revised to conform to the current presentation.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38" w:lineRule="exact"/>
        <w:rPr>
          <w:rFonts w:ascii="Arial" w:cs="Arial" w:eastAsia="Arial" w:hAnsi="Arial"/>
          <w:sz w:val="16"/>
          <w:szCs w:val="16"/>
          <w:color w:val="auto"/>
        </w:rPr>
      </w:pPr>
    </w:p>
    <w:p>
      <w:pPr>
        <w:ind w:left="332" w:right="6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ectPr>
          <w:pgSz w:w="11900" w:h="16838" w:orient="portrait"/>
          <w:cols w:equalWidth="0" w:num="1">
            <w:col w:w="11172"/>
          </w:cols>
          <w:pgMar w:left="328" w:top="895" w:right="399" w:bottom="1440" w:gutter="0" w:footer="0" w:header="0"/>
        </w:sectPr>
      </w:pPr>
    </w:p>
    <w:bookmarkStart w:id="14" w:name="page15"/>
    <w:bookmarkEnd w:id="14"/>
    <w:tbl>
      <w:tblPr>
        <w:tblLayout w:type="fixed"/>
        <w:tblInd w:w="1012"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26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Twelve Months</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8"/>
              </w:rPr>
              <w:t>Ended</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9"/>
                <w:szCs w:val="19"/>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2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453"/>
        </w:trPr>
        <w:tc>
          <w:tcPr>
            <w:tcW w:w="284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5,179</w:t>
            </w:r>
          </w:p>
        </w:tc>
        <w:tc>
          <w:tcPr>
            <w:tcW w:w="160" w:type="dxa"/>
            <w:vAlign w:val="bottom"/>
          </w:tcPr>
          <w:p>
            <w:pPr>
              <w:spacing w:after="0"/>
              <w:rPr>
                <w:sz w:val="24"/>
                <w:szCs w:val="2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(455)</w:t>
            </w:r>
          </w:p>
        </w:tc>
        <w:tc>
          <w:tcPr>
            <w:tcW w:w="160" w:type="dxa"/>
            <w:vAlign w:val="bottom"/>
          </w:tcPr>
          <w:p>
            <w:pPr>
              <w:spacing w:after="0"/>
              <w:rPr>
                <w:sz w:val="24"/>
                <w:szCs w:val="2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(1,150)</w:t>
            </w:r>
          </w:p>
        </w:tc>
        <w:tc>
          <w:tcPr>
            <w:tcW w:w="160" w:type="dxa"/>
            <w:vAlign w:val="bottom"/>
          </w:tcPr>
          <w:p>
            <w:pPr>
              <w:spacing w:after="0"/>
              <w:rPr>
                <w:sz w:val="24"/>
                <w:szCs w:val="2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(13,611)</w:t>
            </w:r>
          </w:p>
        </w:tc>
        <w:tc>
          <w:tcPr>
            <w:tcW w:w="16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(7,610)</w:t>
            </w:r>
          </w:p>
        </w:tc>
        <w:tc>
          <w:tcPr>
            <w:tcW w:w="0" w:type="dxa"/>
            <w:vAlign w:val="bottom"/>
          </w:tcPr>
          <w:p>
            <w:pPr>
              <w:spacing w:after="0"/>
              <w:rPr>
                <w:sz w:val="1"/>
                <w:szCs w:val="1"/>
                <w:color w:val="auto"/>
              </w:rPr>
            </w:pPr>
          </w:p>
        </w:tc>
      </w:tr>
      <w:tr>
        <w:trPr>
          <w:trHeight w:val="215"/>
        </w:trPr>
        <w:tc>
          <w:tcPr>
            <w:tcW w:w="2840" w:type="dxa"/>
            <w:vAlign w:val="bottom"/>
          </w:tcPr>
          <w:p>
            <w:pPr>
              <w:spacing w:after="0"/>
              <w:rPr>
                <w:sz w:val="20"/>
                <w:szCs w:val="20"/>
                <w:color w:val="auto"/>
              </w:rPr>
            </w:pPr>
            <w:r>
              <w:rPr>
                <w:rFonts w:ascii="Arial" w:cs="Arial" w:eastAsia="Arial" w:hAnsi="Arial"/>
                <w:sz w:val="16"/>
                <w:szCs w:val="16"/>
                <w:color w:val="auto"/>
              </w:rPr>
              <w:t>Corporation</w:t>
            </w: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84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3,879</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4,038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10,545</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10,732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13,433</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15,714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20,012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49,349</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54,092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67,875</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71"/>
        </w:trPr>
        <w:tc>
          <w:tcPr>
            <w:tcW w:w="284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4,414</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3,422</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12,432</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7,740</w:t>
            </w: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16,110</w:t>
            </w:r>
          </w:p>
        </w:tc>
        <w:tc>
          <w:tcPr>
            <w:tcW w:w="0" w:type="dxa"/>
            <w:vAlign w:val="bottom"/>
          </w:tcPr>
          <w:p>
            <w:pPr>
              <w:spacing w:after="0"/>
              <w:rPr>
                <w:sz w:val="1"/>
                <w:szCs w:val="1"/>
                <w:color w:val="auto"/>
              </w:rPr>
            </w:pPr>
          </w:p>
        </w:tc>
      </w:tr>
      <w:tr>
        <w:trPr>
          <w:trHeight w:val="249"/>
        </w:trPr>
        <w:tc>
          <w:tcPr>
            <w:tcW w:w="284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29,004</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26,989</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70,904</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58,824</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89,501</w:t>
            </w: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840" w:type="dxa"/>
            <w:vAlign w:val="bottom"/>
          </w:tcPr>
          <w:p>
            <w:pPr>
              <w:ind w:left="220"/>
              <w:spacing w:after="0"/>
              <w:rPr>
                <w:sz w:val="20"/>
                <w:szCs w:val="20"/>
                <w:color w:val="auto"/>
              </w:rPr>
            </w:pPr>
            <w:r>
              <w:rPr>
                <w:rFonts w:ascii="Arial" w:cs="Arial" w:eastAsia="Arial" w:hAnsi="Arial"/>
                <w:sz w:val="16"/>
                <w:szCs w:val="16"/>
                <w:color w:val="auto"/>
              </w:rPr>
              <w:t>Resolution of a sales and</w:t>
            </w:r>
          </w:p>
        </w:tc>
        <w:tc>
          <w:tcPr>
            <w:tcW w:w="240" w:type="dxa"/>
            <w:vAlign w:val="bottom"/>
          </w:tcPr>
          <w:p>
            <w:pPr>
              <w:spacing w:after="0"/>
              <w:rPr>
                <w:sz w:val="18"/>
                <w:szCs w:val="18"/>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5"/>
        </w:trPr>
        <w:tc>
          <w:tcPr>
            <w:tcW w:w="2840" w:type="dxa"/>
            <w:vAlign w:val="bottom"/>
          </w:tcPr>
          <w:p>
            <w:pPr>
              <w:ind w:left="220"/>
              <w:spacing w:after="0"/>
              <w:rPr>
                <w:sz w:val="20"/>
                <w:szCs w:val="20"/>
                <w:color w:val="auto"/>
              </w:rPr>
            </w:pPr>
            <w:r>
              <w:rPr>
                <w:rFonts w:ascii="Arial" w:cs="Arial" w:eastAsia="Arial" w:hAnsi="Arial"/>
                <w:sz w:val="16"/>
                <w:szCs w:val="16"/>
                <w:color w:val="auto"/>
              </w:rPr>
              <w:t>occupancy tax matter (a)</w:t>
            </w: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840" w:type="dxa"/>
            <w:vAlign w:val="bottom"/>
          </w:tcPr>
          <w:p>
            <w:pPr>
              <w:ind w:left="220"/>
              <w:spacing w:after="0"/>
              <w:rPr>
                <w:sz w:val="20"/>
                <w:szCs w:val="20"/>
                <w:color w:val="auto"/>
              </w:rPr>
            </w:pPr>
            <w:r>
              <w:rPr>
                <w:rFonts w:ascii="Arial" w:cs="Arial" w:eastAsia="Arial" w:hAnsi="Arial"/>
                <w:sz w:val="16"/>
                <w:szCs w:val="16"/>
                <w:color w:val="auto"/>
              </w:rPr>
              <w:t>Cost saving initiatives (b)</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1,659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2,530</w:t>
            </w:r>
          </w:p>
        </w:tc>
        <w:tc>
          <w:tcPr>
            <w:tcW w:w="0" w:type="dxa"/>
            <w:vAlign w:val="bottom"/>
          </w:tcPr>
          <w:p>
            <w:pPr>
              <w:spacing w:after="0"/>
              <w:rPr>
                <w:sz w:val="1"/>
                <w:szCs w:val="1"/>
                <w:color w:val="auto"/>
              </w:rPr>
            </w:pPr>
          </w:p>
        </w:tc>
      </w:tr>
      <w:tr>
        <w:trPr>
          <w:trHeight w:val="270"/>
        </w:trPr>
        <w:tc>
          <w:tcPr>
            <w:tcW w:w="2840" w:type="dxa"/>
            <w:vAlign w:val="bottom"/>
          </w:tcPr>
          <w:p>
            <w:pPr>
              <w:ind w:left="220"/>
              <w:spacing w:after="0"/>
              <w:rPr>
                <w:sz w:val="20"/>
                <w:szCs w:val="20"/>
                <w:color w:val="auto"/>
              </w:rPr>
            </w:pPr>
            <w:r>
              <w:rPr>
                <w:rFonts w:ascii="Arial" w:cs="Arial" w:eastAsia="Arial" w:hAnsi="Arial"/>
                <w:sz w:val="16"/>
                <w:szCs w:val="16"/>
                <w:color w:val="auto"/>
              </w:rPr>
              <w:t>Share-based compensation (c)</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2,263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2,231</w:t>
            </w:r>
          </w:p>
        </w:tc>
        <w:tc>
          <w:tcPr>
            <w:tcW w:w="0" w:type="dxa"/>
            <w:vAlign w:val="bottom"/>
          </w:tcPr>
          <w:p>
            <w:pPr>
              <w:spacing w:after="0"/>
              <w:rPr>
                <w:sz w:val="1"/>
                <w:szCs w:val="1"/>
                <w:color w:val="auto"/>
              </w:rPr>
            </w:pPr>
          </w:p>
        </w:tc>
      </w:tr>
      <w:tr>
        <w:trPr>
          <w:trHeight w:val="178"/>
        </w:trPr>
        <w:tc>
          <w:tcPr>
            <w:tcW w:w="2840" w:type="dxa"/>
            <w:vAlign w:val="bottom"/>
          </w:tcPr>
          <w:p>
            <w:pPr>
              <w:ind w:left="220"/>
              <w:spacing w:after="0" w:line="178" w:lineRule="exact"/>
              <w:rPr>
                <w:sz w:val="20"/>
                <w:szCs w:val="20"/>
                <w:color w:val="auto"/>
              </w:rPr>
            </w:pPr>
            <w:r>
              <w:rPr>
                <w:rFonts w:ascii="Arial" w:cs="Arial" w:eastAsia="Arial" w:hAnsi="Arial"/>
                <w:sz w:val="16"/>
                <w:szCs w:val="16"/>
                <w:color w:val="auto"/>
              </w:rPr>
              <w:t>Foreign currency (gains) losses, net</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(351)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267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5"/>
        </w:trPr>
        <w:tc>
          <w:tcPr>
            <w:tcW w:w="2840" w:type="dxa"/>
            <w:vAlign w:val="bottom"/>
          </w:tcPr>
          <w:p>
            <w:pPr>
              <w:ind w:left="220"/>
              <w:spacing w:after="0"/>
              <w:rPr>
                <w:sz w:val="20"/>
                <w:szCs w:val="20"/>
                <w:color w:val="auto"/>
              </w:rPr>
            </w:pPr>
            <w:r>
              <w:rPr>
                <w:rFonts w:ascii="Arial" w:cs="Arial" w:eastAsia="Arial" w:hAnsi="Arial"/>
                <w:sz w:val="16"/>
                <w:szCs w:val="16"/>
                <w:color w:val="auto"/>
              </w:rPr>
              <w:t>(d)</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220"/>
              <w:spacing w:after="0"/>
              <w:rPr>
                <w:sz w:val="20"/>
                <w:szCs w:val="20"/>
                <w:color w:val="auto"/>
              </w:rPr>
            </w:pPr>
            <w:r>
              <w:rPr>
                <w:rFonts w:ascii="Arial" w:cs="Arial" w:eastAsia="Arial" w:hAnsi="Arial"/>
                <w:sz w:val="16"/>
                <w:szCs w:val="16"/>
                <w:color w:val="auto"/>
              </w:rPr>
              <w:t>Shareholder activist costs</w:t>
            </w:r>
          </w:p>
        </w:tc>
        <w:tc>
          <w:tcPr>
            <w:tcW w:w="2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470</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3,753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224"/>
        </w:trPr>
        <w:tc>
          <w:tcPr>
            <w:tcW w:w="284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30,057</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28,610</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75,961</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66,766</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97,796</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652" w:hanging="328"/>
        <w:spacing w:after="0"/>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Represents the non-recurring settlement of a sales and occupancy tax matter related to our former U.S. business, which was sold in 2023.</w:t>
      </w:r>
    </w:p>
    <w:p>
      <w:pPr>
        <w:spacing w:after="0" w:line="248" w:lineRule="exact"/>
        <w:rPr>
          <w:rFonts w:ascii="Arial" w:cs="Arial" w:eastAsia="Arial" w:hAnsi="Arial"/>
          <w:sz w:val="16"/>
          <w:szCs w:val="16"/>
          <w:color w:val="auto"/>
        </w:rPr>
      </w:pPr>
    </w:p>
    <w:p>
      <w:pPr>
        <w:ind w:left="652" w:hanging="328"/>
        <w:spacing w:after="0"/>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Represents implementation costs (primarily severance costs and real estate expense rationalization) incurred as part of cost savings initiatives.</w:t>
      </w:r>
    </w:p>
    <w:p>
      <w:pPr>
        <w:spacing w:after="0" w:line="248" w:lineRule="exact"/>
        <w:rPr>
          <w:rFonts w:ascii="Arial" w:cs="Arial" w:eastAsia="Arial" w:hAnsi="Arial"/>
          <w:sz w:val="16"/>
          <w:szCs w:val="16"/>
          <w:color w:val="auto"/>
        </w:rPr>
      </w:pPr>
    </w:p>
    <w:p>
      <w:pPr>
        <w:ind w:left="652" w:right="300" w:hanging="328"/>
        <w:spacing w:after="0" w:line="304"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Represents share-based compensation expense associated with performance share awards, restricted share awards, restricted share units and deferred share awards.</w:t>
      </w:r>
    </w:p>
    <w:p>
      <w:pPr>
        <w:spacing w:after="0" w:line="168" w:lineRule="exact"/>
        <w:rPr>
          <w:rFonts w:ascii="Arial" w:cs="Arial" w:eastAsia="Arial" w:hAnsi="Arial"/>
          <w:sz w:val="16"/>
          <w:szCs w:val="16"/>
          <w:color w:val="auto"/>
        </w:rPr>
      </w:pPr>
    </w:p>
    <w:p>
      <w:pPr>
        <w:ind w:left="652" w:hanging="328"/>
        <w:spacing w:after="0"/>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Represents foreign currency (gains) losses, net, recognized in the Company’s results of operations.</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332" w:hanging="332"/>
        <w:spacing w:after="0" w:line="257"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total net leverage ratio is a non-GAAP financial measure that is defined as net debt divided by bank-adjusted EBITDA. Net debt, bank-adjusted EBITDA and total net leverage ratio are not financial measures under GAAP and should not be considered in isolation from or as a substitute for total debt, net income (loss) or cash flow measures prepared in</w:t>
      </w:r>
    </w:p>
    <w:p>
      <w:pPr>
        <w:spacing w:after="0" w:line="1" w:lineRule="exact"/>
        <w:rPr>
          <w:rFonts w:ascii="Arial" w:cs="Arial" w:eastAsia="Arial" w:hAnsi="Arial"/>
          <w:sz w:val="16"/>
          <w:szCs w:val="16"/>
          <w:color w:val="auto"/>
        </w:rPr>
      </w:pPr>
    </w:p>
    <w:p>
      <w:pPr>
        <w:ind w:left="332" w:right="2000"/>
        <w:spacing w:after="0" w:line="255" w:lineRule="auto"/>
        <w:rPr>
          <w:rFonts w:ascii="Arial" w:cs="Arial" w:eastAsia="Arial" w:hAnsi="Arial"/>
          <w:sz w:val="16"/>
          <w:szCs w:val="16"/>
          <w:color w:val="auto"/>
        </w:rPr>
      </w:pPr>
      <w:r>
        <w:rPr>
          <w:rFonts w:ascii="Arial" w:cs="Arial" w:eastAsia="Arial" w:hAnsi="Arial"/>
          <w:sz w:val="16"/>
          <w:szCs w:val="16"/>
          <w:color w:val="auto"/>
        </w:rPr>
        <w:t>accordance with GAAP or as a measure of profitability or liquidity. Additionally, net debt, bank-adjusted EBITDA and total net leverage ratio may not be comparable to other similarly titled measures of other companies. Civeo has included net debt,</w:t>
      </w:r>
    </w:p>
    <w:p>
      <w:pPr>
        <w:ind w:left="332" w:right="60"/>
        <w:spacing w:after="0" w:line="258" w:lineRule="auto"/>
        <w:rPr>
          <w:rFonts w:ascii="Arial" w:cs="Arial" w:eastAsia="Arial" w:hAnsi="Arial"/>
          <w:sz w:val="16"/>
          <w:szCs w:val="16"/>
          <w:color w:val="auto"/>
        </w:rPr>
      </w:pPr>
      <w:r>
        <w:rPr>
          <w:rFonts w:ascii="Arial" w:cs="Arial" w:eastAsia="Arial" w:hAnsi="Arial"/>
          <w:sz w:val="16"/>
          <w:szCs w:val="16"/>
          <w:color w:val="auto"/>
        </w:rPr>
        <w:t>bank-adjusted EBITDA and total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total net leverage ratio below 3.5x every quarter to remain in compliance with the credit agreement.</w:t>
      </w:r>
    </w:p>
    <w:p>
      <w:pPr>
        <w:spacing w:after="0" w:line="218" w:lineRule="exact"/>
        <w:rPr>
          <w:rFonts w:ascii="Arial" w:cs="Arial" w:eastAsia="Arial" w:hAnsi="Arial"/>
          <w:sz w:val="16"/>
          <w:szCs w:val="16"/>
          <w:color w:val="auto"/>
        </w:rPr>
      </w:pPr>
    </w:p>
    <w:p>
      <w:pPr>
        <w:ind w:left="332" w:right="16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net debt, bank-adjusted EBITDA and total net leverage ratio to the most directly comparable measures of financial performance calculated under GAAP (in thousands) (unaudited):</w:t>
      </w:r>
    </w:p>
    <w:p>
      <w:pPr>
        <w:sectPr>
          <w:pgSz w:w="11900" w:h="16838" w:orient="portrait"/>
          <w:cols w:equalWidth="0" w:num="1">
            <w:col w:w="11232"/>
          </w:cols>
          <w:pgMar w:left="328" w:top="955"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23"/>
        </w:trPr>
        <w:tc>
          <w:tcPr>
            <w:tcW w:w="626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September 30,</w:t>
            </w:r>
          </w:p>
        </w:tc>
      </w:tr>
      <w:tr>
        <w:trPr>
          <w:trHeight w:val="223"/>
        </w:trPr>
        <w:tc>
          <w:tcPr>
            <w:tcW w:w="6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2026</w:t>
            </w:r>
          </w:p>
        </w:tc>
      </w:tr>
      <w:tr>
        <w:trPr>
          <w:trHeight w:val="426"/>
        </w:trPr>
        <w:tc>
          <w:tcPr>
            <w:tcW w:w="626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rPr>
              <w:t>Total Net Leverage</w:t>
            </w:r>
          </w:p>
        </w:tc>
      </w:tr>
      <w:tr>
        <w:trPr>
          <w:trHeight w:val="223"/>
        </w:trPr>
        <w:tc>
          <w:tcPr>
            <w:tcW w:w="6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center"/>
              <w:ind w:right="279"/>
              <w:spacing w:after="0"/>
              <w:rPr>
                <w:sz w:val="20"/>
                <w:szCs w:val="20"/>
                <w:color w:val="auto"/>
              </w:rPr>
            </w:pPr>
            <w:r>
              <w:rPr>
                <w:rFonts w:ascii="Arial" w:cs="Arial" w:eastAsia="Arial" w:hAnsi="Arial"/>
                <w:sz w:val="16"/>
                <w:szCs w:val="16"/>
                <w:b w:val="1"/>
                <w:bCs w:val="1"/>
                <w:color w:val="auto"/>
                <w:w w:val="99"/>
              </w:rPr>
              <w:t>Ratio</w:t>
            </w:r>
          </w:p>
        </w:tc>
      </w:tr>
      <w:tr>
        <w:trPr>
          <w:trHeight w:val="221"/>
        </w:trPr>
        <w:tc>
          <w:tcPr>
            <w:tcW w:w="6260" w:type="dxa"/>
            <w:vAlign w:val="bottom"/>
          </w:tcPr>
          <w:p>
            <w:pPr>
              <w:spacing w:after="0"/>
              <w:rPr>
                <w:sz w:val="20"/>
                <w:szCs w:val="20"/>
                <w:color w:val="auto"/>
              </w:rPr>
            </w:pPr>
            <w:r>
              <w:rPr>
                <w:rFonts w:ascii="Arial" w:cs="Arial" w:eastAsia="Arial" w:hAnsi="Arial"/>
                <w:sz w:val="16"/>
                <w:szCs w:val="16"/>
                <w:color w:val="auto"/>
              </w:rPr>
              <w:t>Total debt (including finance lease obligations)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220,289</w:t>
            </w:r>
          </w:p>
        </w:tc>
      </w:tr>
      <w:tr>
        <w:trPr>
          <w:trHeight w:val="231"/>
        </w:trPr>
        <w:tc>
          <w:tcPr>
            <w:tcW w:w="626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24,282</w:t>
            </w:r>
          </w:p>
        </w:tc>
      </w:tr>
      <w:tr>
        <w:trPr>
          <w:trHeight w:val="224"/>
        </w:trPr>
        <w:tc>
          <w:tcPr>
            <w:tcW w:w="6260" w:type="dxa"/>
            <w:vAlign w:val="bottom"/>
          </w:tcPr>
          <w:p>
            <w:pPr>
              <w:ind w:left="100"/>
              <w:spacing w:after="0"/>
              <w:rPr>
                <w:sz w:val="20"/>
                <w:szCs w:val="20"/>
                <w:color w:val="auto"/>
              </w:rPr>
            </w:pPr>
            <w:r>
              <w:rPr>
                <w:rFonts w:ascii="Arial" w:cs="Arial" w:eastAsia="Arial" w:hAnsi="Arial"/>
                <w:sz w:val="16"/>
                <w:szCs w:val="16"/>
                <w:color w:val="auto"/>
              </w:rPr>
              <w:t>Net debt</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196,007</w:t>
            </w:r>
          </w:p>
        </w:tc>
      </w:tr>
      <w:tr>
        <w:trPr>
          <w:trHeight w:val="21"/>
        </w:trPr>
        <w:tc>
          <w:tcPr>
            <w:tcW w:w="6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64"/>
        </w:trPr>
        <w:tc>
          <w:tcPr>
            <w:tcW w:w="6260" w:type="dxa"/>
            <w:vAlign w:val="bottom"/>
          </w:tcPr>
          <w:p>
            <w:pPr>
              <w:spacing w:after="0"/>
              <w:rPr>
                <w:sz w:val="20"/>
                <w:szCs w:val="20"/>
                <w:color w:val="auto"/>
              </w:rPr>
            </w:pPr>
            <w:r>
              <w:rPr>
                <w:rFonts w:ascii="Arial" w:cs="Arial" w:eastAsia="Arial" w:hAnsi="Arial"/>
                <w:sz w:val="16"/>
                <w:szCs w:val="16"/>
                <w:color w:val="auto"/>
              </w:rPr>
              <w:t>Adjusted EBITDA for the twelve months ended September 30, 2026 (a)</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97,796</w:t>
            </w:r>
          </w:p>
        </w:tc>
      </w:tr>
      <w:tr>
        <w:trPr>
          <w:trHeight w:val="229"/>
        </w:trPr>
        <w:tc>
          <w:tcPr>
            <w:tcW w:w="626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2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29"/>
        </w:trPr>
        <w:tc>
          <w:tcPr>
            <w:tcW w:w="6260" w:type="dxa"/>
            <w:vAlign w:val="bottom"/>
          </w:tcPr>
          <w:p>
            <w:pPr>
              <w:ind w:left="100"/>
              <w:spacing w:after="0"/>
              <w:rPr>
                <w:sz w:val="20"/>
                <w:szCs w:val="20"/>
                <w:color w:val="auto"/>
              </w:rPr>
            </w:pPr>
            <w:r>
              <w:rPr>
                <w:rFonts w:ascii="Arial" w:cs="Arial" w:eastAsia="Arial" w:hAnsi="Arial"/>
                <w:sz w:val="16"/>
                <w:szCs w:val="16"/>
                <w:color w:val="auto"/>
              </w:rPr>
              <w:t>Costs related to strategically positioning assets around growth opportunities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30"/>
        </w:trPr>
        <w:tc>
          <w:tcPr>
            <w:tcW w:w="6260" w:type="dxa"/>
            <w:vAlign w:val="bottom"/>
          </w:tcPr>
          <w:p>
            <w:pPr>
              <w:ind w:left="100"/>
              <w:spacing w:after="0"/>
              <w:rPr>
                <w:sz w:val="20"/>
                <w:szCs w:val="20"/>
                <w:color w:val="auto"/>
              </w:rPr>
            </w:pPr>
            <w:r>
              <w:rPr>
                <w:rFonts w:ascii="Arial" w:cs="Arial" w:eastAsia="Arial" w:hAnsi="Arial"/>
                <w:sz w:val="16"/>
                <w:szCs w:val="16"/>
                <w:color w:val="auto"/>
              </w:rPr>
              <w:t>Foreign currency (gains) losses, net (b)</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29"/>
        </w:trPr>
        <w:tc>
          <w:tcPr>
            <w:tcW w:w="6260" w:type="dxa"/>
            <w:vAlign w:val="bottom"/>
          </w:tcPr>
          <w:p>
            <w:pPr>
              <w:ind w:left="100"/>
              <w:spacing w:after="0"/>
              <w:rPr>
                <w:sz w:val="20"/>
                <w:szCs w:val="20"/>
                <w:color w:val="auto"/>
              </w:rPr>
            </w:pPr>
            <w:r>
              <w:rPr>
                <w:rFonts w:ascii="Arial" w:cs="Arial" w:eastAsia="Arial" w:hAnsi="Arial"/>
                <w:sz w:val="16"/>
                <w:szCs w:val="16"/>
                <w:color w:val="auto"/>
              </w:rPr>
              <w:t>Resolution of a sales and occupancy tax matter (b)</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29"/>
        </w:trPr>
        <w:tc>
          <w:tcPr>
            <w:tcW w:w="6260" w:type="dxa"/>
            <w:vAlign w:val="bottom"/>
          </w:tcPr>
          <w:p>
            <w:pPr>
              <w:ind w:left="100"/>
              <w:spacing w:after="0"/>
              <w:rPr>
                <w:sz w:val="20"/>
                <w:szCs w:val="20"/>
                <w:color w:val="auto"/>
              </w:rPr>
            </w:pPr>
            <w:r>
              <w:rPr>
                <w:rFonts w:ascii="Arial" w:cs="Arial" w:eastAsia="Arial" w:hAnsi="Arial"/>
                <w:sz w:val="16"/>
                <w:szCs w:val="16"/>
                <w:color w:val="auto"/>
              </w:rPr>
              <w:t>Cost saving initiatives (b)</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(2,530)</w:t>
            </w:r>
          </w:p>
        </w:tc>
      </w:tr>
      <w:tr>
        <w:trPr>
          <w:trHeight w:val="231"/>
        </w:trPr>
        <w:tc>
          <w:tcPr>
            <w:tcW w:w="6260" w:type="dxa"/>
            <w:vAlign w:val="bottom"/>
          </w:tcPr>
          <w:p>
            <w:pPr>
              <w:ind w:left="100"/>
              <w:spacing w:after="0"/>
              <w:rPr>
                <w:sz w:val="20"/>
                <w:szCs w:val="20"/>
                <w:color w:val="auto"/>
              </w:rPr>
            </w:pPr>
            <w:r>
              <w:rPr>
                <w:rFonts w:ascii="Arial" w:cs="Arial" w:eastAsia="Arial" w:hAnsi="Arial"/>
                <w:sz w:val="16"/>
                <w:szCs w:val="16"/>
                <w:color w:val="auto"/>
              </w:rPr>
              <w:t>Shareholder activist costs (b)</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w:t>
            </w:r>
          </w:p>
        </w:tc>
      </w:tr>
      <w:tr>
        <w:trPr>
          <w:trHeight w:val="224"/>
        </w:trPr>
        <w:tc>
          <w:tcPr>
            <w:tcW w:w="626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92,499</w:t>
            </w:r>
          </w:p>
        </w:tc>
      </w:tr>
      <w:tr>
        <w:trPr>
          <w:trHeight w:val="21"/>
        </w:trPr>
        <w:tc>
          <w:tcPr>
            <w:tcW w:w="6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64"/>
        </w:trPr>
        <w:tc>
          <w:tcPr>
            <w:tcW w:w="6260" w:type="dxa"/>
            <w:vAlign w:val="bottom"/>
          </w:tcPr>
          <w:p>
            <w:pPr>
              <w:ind w:left="100"/>
              <w:spacing w:after="0"/>
              <w:rPr>
                <w:sz w:val="20"/>
                <w:szCs w:val="20"/>
                <w:color w:val="auto"/>
              </w:rPr>
            </w:pPr>
            <w:r>
              <w:rPr>
                <w:rFonts w:ascii="Arial" w:cs="Arial" w:eastAsia="Arial" w:hAnsi="Arial"/>
                <w:sz w:val="16"/>
                <w:szCs w:val="16"/>
                <w:color w:val="auto"/>
              </w:rPr>
              <w:t>Total net leverage ratio (c)</w:t>
            </w: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2.1x</w:t>
            </w:r>
          </w:p>
        </w:tc>
      </w:tr>
    </w:tbl>
    <w:p>
      <w:pPr>
        <w:spacing w:after="0" w:line="200" w:lineRule="exact"/>
        <w:rPr>
          <w:sz w:val="20"/>
          <w:szCs w:val="20"/>
          <w:color w:val="auto"/>
        </w:rPr>
      </w:pPr>
    </w:p>
    <w:p>
      <w:pPr>
        <w:spacing w:after="0" w:line="233" w:lineRule="exact"/>
        <w:rPr>
          <w:sz w:val="20"/>
          <w:szCs w:val="20"/>
          <w:color w:val="auto"/>
        </w:rPr>
      </w:pPr>
    </w:p>
    <w:p>
      <w:pPr>
        <w:ind w:left="230" w:hanging="230"/>
        <w:spacing w:after="0"/>
        <w:tabs>
          <w:tab w:leader="none" w:pos="23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loss attributable to Civeo Corporation.</w:t>
      </w:r>
    </w:p>
    <w:p>
      <w:pPr>
        <w:spacing w:after="0" w:line="45" w:lineRule="exact"/>
        <w:rPr>
          <w:rFonts w:ascii="Arial" w:cs="Arial" w:eastAsia="Arial" w:hAnsi="Arial"/>
          <w:sz w:val="16"/>
          <w:szCs w:val="16"/>
          <w:color w:val="auto"/>
        </w:rPr>
      </w:pPr>
    </w:p>
    <w:p>
      <w:pPr>
        <w:ind w:left="250" w:hanging="250"/>
        <w:spacing w:after="0"/>
        <w:tabs>
          <w:tab w:leader="none" w:pos="25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Adjustments to EBITDA not allowed to be adjusted by our credit facility.</w:t>
      </w:r>
    </w:p>
    <w:p>
      <w:pPr>
        <w:spacing w:after="0" w:line="45" w:lineRule="exact"/>
        <w:rPr>
          <w:rFonts w:ascii="Arial" w:cs="Arial" w:eastAsia="Arial" w:hAnsi="Arial"/>
          <w:sz w:val="16"/>
          <w:szCs w:val="16"/>
          <w:color w:val="auto"/>
        </w:rPr>
      </w:pPr>
    </w:p>
    <w:p>
      <w:pPr>
        <w:ind w:left="230" w:hanging="230"/>
        <w:spacing w:after="0"/>
        <w:tabs>
          <w:tab w:leader="none" w:pos="23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9789"/>
          </w:cols>
          <w:pgMar w:left="670" w:top="949" w:right="1440" w:bottom="1440" w:gutter="0" w:footer="0" w:header="0"/>
        </w:sectPr>
      </w:pPr>
    </w:p>
    <w:bookmarkStart w:id="16" w:name="page17"/>
    <w:bookmarkEnd w:id="16"/>
    <w:p>
      <w:pPr>
        <w:jc w:val="center"/>
        <w:ind w:right="-23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300" w:lineRule="exact"/>
        <w:rPr>
          <w:sz w:val="20"/>
          <w:szCs w:val="20"/>
          <w:color w:val="auto"/>
        </w:rPr>
      </w:pPr>
    </w:p>
    <w:tbl>
      <w:tblPr>
        <w:tblLayout w:type="fixed"/>
        <w:tblInd w:w="2072"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2026</w:t>
            </w:r>
          </w:p>
        </w:tc>
      </w:tr>
      <w:tr>
        <w:trPr>
          <w:trHeight w:val="316"/>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83.4</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86.4</w:t>
            </w:r>
          </w:p>
        </w:tc>
      </w:tr>
      <w:tr>
        <w:trPr>
          <w:trHeight w:val="229"/>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89.0</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92.0</w:t>
            </w:r>
          </w:p>
        </w:tc>
      </w:tr>
    </w:tbl>
    <w:p>
      <w:pPr>
        <w:spacing w:after="0" w:line="298" w:lineRule="exact"/>
        <w:rPr>
          <w:sz w:val="20"/>
          <w:szCs w:val="20"/>
          <w:color w:val="auto"/>
        </w:rPr>
      </w:pPr>
    </w:p>
    <w:p>
      <w:pPr>
        <w:ind w:left="332" w:hanging="332"/>
        <w:spacing w:after="0" w:line="286" w:lineRule="auto"/>
        <w:tabs>
          <w:tab w:leader="none" w:pos="32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50" w:lineRule="exact"/>
        <w:rPr>
          <w:sz w:val="20"/>
          <w:szCs w:val="20"/>
          <w:color w:val="auto"/>
        </w:rPr>
      </w:pPr>
    </w:p>
    <w:tbl>
      <w:tblPr>
        <w:tblLayout w:type="fixed"/>
        <w:tblInd w:w="1872" w:type="dxa"/>
        <w:tblCellMar>
          <w:top w:w="0" w:type="dxa"/>
          <w:left w:w="0" w:type="dxa"/>
          <w:bottom w:w="0" w:type="dxa"/>
          <w:right w:w="0" w:type="dxa"/>
        </w:tblCellMar>
      </w:tblP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2026</w:t>
            </w:r>
          </w:p>
        </w:tc>
      </w:tr>
      <w:tr>
        <w:trPr>
          <w:trHeight w:val="229"/>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(estimated)</w:t>
            </w:r>
          </w:p>
        </w:tc>
        <w:tc>
          <w:tcPr>
            <w:tcW w:w="660" w:type="dxa"/>
            <w:vAlign w:val="bottom"/>
          </w:tcPr>
          <w:p>
            <w:pPr>
              <w:spacing w:after="0"/>
              <w:rPr>
                <w:sz w:val="19"/>
                <w:szCs w:val="19"/>
                <w:color w:val="auto"/>
              </w:rPr>
            </w:pPr>
          </w:p>
        </w:tc>
      </w:tr>
      <w:tr>
        <w:trPr>
          <w:trHeight w:val="329"/>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4"/>
                <w:szCs w:val="24"/>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30"/>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29"/>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230"/>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r>
      <w:tr>
        <w:trPr>
          <w:trHeight w:val="222"/>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w:t>
            </w:r>
          </w:p>
        </w:tc>
      </w:tr>
      <w:tr>
        <w:trPr>
          <w:trHeight w:val="318"/>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9"/>
        </w:trPr>
        <w:tc>
          <w:tcPr>
            <w:tcW w:w="4820" w:type="dxa"/>
            <w:vAlign w:val="bottom"/>
          </w:tcPr>
          <w:p>
            <w:pPr>
              <w:ind w:left="120"/>
              <w:spacing w:after="0"/>
              <w:rPr>
                <w:sz w:val="20"/>
                <w:szCs w:val="20"/>
                <w:color w:val="auto"/>
              </w:rPr>
            </w:pPr>
            <w:r>
              <w:rPr>
                <w:rFonts w:ascii="Arial" w:cs="Arial" w:eastAsia="Arial" w:hAnsi="Arial"/>
                <w:sz w:val="16"/>
                <w:szCs w:val="16"/>
                <w:color w:val="auto"/>
              </w:rPr>
              <w:t>Shareholder activist costs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30"/>
        </w:trPr>
        <w:tc>
          <w:tcPr>
            <w:tcW w:w="4820" w:type="dxa"/>
            <w:vAlign w:val="bottom"/>
          </w:tcPr>
          <w:p>
            <w:pPr>
              <w:ind w:left="120"/>
              <w:spacing w:after="0"/>
              <w:rPr>
                <w:sz w:val="20"/>
                <w:szCs w:val="20"/>
                <w:color w:val="auto"/>
              </w:rPr>
            </w:pPr>
            <w:r>
              <w:rPr>
                <w:rFonts w:ascii="Arial" w:cs="Arial" w:eastAsia="Arial" w:hAnsi="Arial"/>
                <w:sz w:val="16"/>
                <w:szCs w:val="16"/>
                <w:color w:val="auto"/>
              </w:rPr>
              <w:t>Cost saving initiatives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9"/>
        </w:trPr>
        <w:tc>
          <w:tcPr>
            <w:tcW w:w="4820" w:type="dxa"/>
            <w:vAlign w:val="bottom"/>
          </w:tcPr>
          <w:p>
            <w:pPr>
              <w:ind w:left="120"/>
              <w:spacing w:after="0"/>
              <w:rPr>
                <w:sz w:val="20"/>
                <w:szCs w:val="20"/>
                <w:color w:val="auto"/>
              </w:rPr>
            </w:pPr>
            <w:r>
              <w:rPr>
                <w:rFonts w:ascii="Arial" w:cs="Arial" w:eastAsia="Arial" w:hAnsi="Arial"/>
                <w:sz w:val="16"/>
                <w:szCs w:val="16"/>
                <w:color w:val="auto"/>
              </w:rPr>
              <w:t>Resolution of a sales and occupancy tax matter</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0"/>
        </w:trPr>
        <w:tc>
          <w:tcPr>
            <w:tcW w:w="4820" w:type="dxa"/>
            <w:vAlign w:val="bottom"/>
          </w:tcPr>
          <w:p>
            <w:pPr>
              <w:ind w:left="120"/>
              <w:spacing w:after="0"/>
              <w:rPr>
                <w:sz w:val="20"/>
                <w:szCs w:val="20"/>
                <w:color w:val="auto"/>
              </w:rPr>
            </w:pPr>
            <w:r>
              <w:rPr>
                <w:rFonts w:ascii="Arial" w:cs="Arial" w:eastAsia="Arial" w:hAnsi="Arial"/>
                <w:sz w:val="16"/>
                <w:szCs w:val="16"/>
                <w:color w:val="auto"/>
              </w:rPr>
              <w:t>Foreign currency (gains) losses, net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30"/>
        </w:trPr>
        <w:tc>
          <w:tcPr>
            <w:tcW w:w="482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24"/>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92"/>
          </w:cols>
          <w:pgMar w:left="328" w:top="895" w:right="579" w:bottom="1440" w:gutter="0" w:footer="0" w:header="0"/>
        </w:sectPr>
      </w:pPr>
    </w:p>
    <w:bookmarkStart w:id="17" w:name="page18"/>
    <w:bookmarkEnd w:id="17"/>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2"/>
    </w:lvl>
    <w:lvl w:ilvl="1">
      <w:lvlJc w:val="left"/>
      <w:lvlText w:val="%2"/>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2026-10-29T16:42:29Z</dcterms:created>
  <dcterms:modified xsi:type="dcterms:W3CDTF">2026-10-29T16:42:29Z</dcterms:modified>
</cp:coreProperties>
</file>